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E271" w14:textId="77777777" w:rsidR="000A36BB" w:rsidRPr="00826248" w:rsidRDefault="000A36BB" w:rsidP="000A36BB">
      <w:pPr>
        <w:keepNext/>
        <w:widowControl w:val="0"/>
        <w:spacing w:after="0" w:line="240" w:lineRule="auto"/>
        <w:jc w:val="center"/>
        <w:outlineLvl w:val="1"/>
        <w:rPr>
          <w:rFonts w:ascii="Times New Roman" w:eastAsia="Times New Roman" w:hAnsi="Times New Roman" w:cs="Times New Roman"/>
          <w:lang w:eastAsia="sq-AL" w:bidi="sq-AL"/>
        </w:rPr>
      </w:pPr>
      <w:bookmarkStart w:id="0" w:name="_Hlk229049839"/>
      <w:r w:rsidRPr="00826248">
        <w:rPr>
          <w:rFonts w:ascii="Times New Roman" w:eastAsia="Times New Roman" w:hAnsi="Times New Roman" w:cs="Times New Roman"/>
          <w:b/>
          <w:bCs/>
          <w:noProof/>
          <w:spacing w:val="-12"/>
          <w:lang w:eastAsia="sq-AL"/>
        </w:rPr>
        <w:drawing>
          <wp:anchor distT="0" distB="0" distL="114300" distR="114300" simplePos="0" relativeHeight="251659264" behindDoc="0" locked="0" layoutInCell="1" allowOverlap="1" wp14:anchorId="151A76F4" wp14:editId="33523633">
            <wp:simplePos x="0" y="0"/>
            <wp:positionH relativeFrom="column">
              <wp:posOffset>2543175</wp:posOffset>
            </wp:positionH>
            <wp:positionV relativeFrom="paragraph">
              <wp:posOffset>-269240</wp:posOffset>
            </wp:positionV>
            <wp:extent cx="661916" cy="812042"/>
            <wp:effectExtent l="0" t="0" r="5080" b="762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61916" cy="812042"/>
                    </a:xfrm>
                    <a:prstGeom prst="rect">
                      <a:avLst/>
                    </a:prstGeom>
                    <a:ln w="12700" cap="flat">
                      <a:noFill/>
                      <a:miter lim="400000"/>
                    </a:ln>
                    <a:effectLst/>
                  </pic:spPr>
                </pic:pic>
              </a:graphicData>
            </a:graphic>
          </wp:anchor>
        </w:drawing>
      </w:r>
    </w:p>
    <w:p w14:paraId="741FF8D7" w14:textId="77777777" w:rsidR="000A36BB" w:rsidRPr="00826248" w:rsidRDefault="000A36BB" w:rsidP="000A36BB">
      <w:pPr>
        <w:keepNext/>
        <w:widowControl w:val="0"/>
        <w:spacing w:after="0" w:line="240" w:lineRule="auto"/>
        <w:jc w:val="center"/>
        <w:outlineLvl w:val="1"/>
        <w:rPr>
          <w:rFonts w:ascii="Times New Roman" w:eastAsia="Times New Roman" w:hAnsi="Times New Roman" w:cs="Times New Roman"/>
          <w:lang w:eastAsia="sq-AL" w:bidi="sq-AL"/>
        </w:rPr>
      </w:pPr>
    </w:p>
    <w:p w14:paraId="099A509C" w14:textId="77777777" w:rsidR="000A36BB" w:rsidRPr="00826248" w:rsidRDefault="000A36BB" w:rsidP="000A36BB">
      <w:pPr>
        <w:keepNext/>
        <w:widowControl w:val="0"/>
        <w:spacing w:after="0" w:line="240" w:lineRule="auto"/>
        <w:jc w:val="center"/>
        <w:outlineLvl w:val="1"/>
        <w:rPr>
          <w:rFonts w:ascii="Times New Roman" w:eastAsia="Times New Roman" w:hAnsi="Times New Roman" w:cs="Times New Roman"/>
          <w:lang w:eastAsia="sq-AL" w:bidi="sq-AL"/>
        </w:rPr>
      </w:pPr>
    </w:p>
    <w:p w14:paraId="001337EF" w14:textId="77777777" w:rsidR="000A36BB" w:rsidRPr="00826248" w:rsidRDefault="000A36BB" w:rsidP="000A36BB">
      <w:pPr>
        <w:keepNext/>
        <w:widowControl w:val="0"/>
        <w:spacing w:after="0" w:line="240" w:lineRule="auto"/>
        <w:jc w:val="center"/>
        <w:outlineLvl w:val="1"/>
        <w:rPr>
          <w:rFonts w:ascii="Times New Roman" w:eastAsia="Times New Roman" w:hAnsi="Times New Roman" w:cs="Times New Roman"/>
          <w:lang w:eastAsia="sq-AL" w:bidi="sq-AL"/>
        </w:rPr>
      </w:pPr>
    </w:p>
    <w:p w14:paraId="7C557555" w14:textId="77777777" w:rsidR="000A36BB" w:rsidRPr="00826248" w:rsidRDefault="000A36BB" w:rsidP="000A36BB">
      <w:pPr>
        <w:keepNext/>
        <w:widowControl w:val="0"/>
        <w:spacing w:after="0" w:line="240" w:lineRule="auto"/>
        <w:jc w:val="center"/>
        <w:outlineLvl w:val="1"/>
        <w:rPr>
          <w:rFonts w:ascii="Times New Roman" w:eastAsia="Times New Roman" w:hAnsi="Times New Roman" w:cs="Times New Roman"/>
          <w:b/>
          <w:lang w:eastAsia="sq-AL" w:bidi="sq-AL"/>
        </w:rPr>
      </w:pPr>
      <w:r w:rsidRPr="00826248">
        <w:rPr>
          <w:rFonts w:ascii="Times New Roman" w:eastAsia="Times New Roman" w:hAnsi="Times New Roman" w:cs="Times New Roman"/>
          <w:b/>
          <w:lang w:eastAsia="sq-AL" w:bidi="sq-AL"/>
        </w:rPr>
        <w:t>REPUBLIKA E SHQIPËRISË</w:t>
      </w:r>
    </w:p>
    <w:p w14:paraId="75832FD8" w14:textId="77777777" w:rsidR="000A36BB" w:rsidRPr="00826248" w:rsidRDefault="000A36BB" w:rsidP="000A36BB">
      <w:pPr>
        <w:keepNext/>
        <w:widowControl w:val="0"/>
        <w:spacing w:after="0" w:line="240" w:lineRule="auto"/>
        <w:jc w:val="center"/>
        <w:outlineLvl w:val="1"/>
        <w:rPr>
          <w:rFonts w:ascii="Times New Roman" w:eastAsia="Times New Roman" w:hAnsi="Times New Roman" w:cs="Times New Roman"/>
          <w:b/>
          <w:lang w:eastAsia="sq-AL" w:bidi="sq-AL"/>
        </w:rPr>
      </w:pPr>
      <w:r w:rsidRPr="00826248">
        <w:rPr>
          <w:rFonts w:ascii="Times New Roman" w:eastAsia="Times New Roman" w:hAnsi="Times New Roman" w:cs="Times New Roman"/>
          <w:b/>
          <w:lang w:eastAsia="sq-AL" w:bidi="sq-AL"/>
        </w:rPr>
        <w:t>KUVENDI</w:t>
      </w:r>
    </w:p>
    <w:p w14:paraId="44CF6396" w14:textId="77777777" w:rsidR="000A36BB" w:rsidRPr="00826248" w:rsidRDefault="000A36BB" w:rsidP="000A36BB">
      <w:pPr>
        <w:keepNext/>
        <w:widowControl w:val="0"/>
        <w:spacing w:after="0" w:line="240" w:lineRule="auto"/>
        <w:jc w:val="center"/>
        <w:outlineLvl w:val="1"/>
        <w:rPr>
          <w:rFonts w:ascii="Times New Roman" w:eastAsia="Times New Roman" w:hAnsi="Times New Roman" w:cs="Times New Roman"/>
          <w:b/>
          <w:lang w:eastAsia="sq-AL" w:bidi="sq-AL"/>
        </w:rPr>
      </w:pPr>
    </w:p>
    <w:p w14:paraId="632C3D8B" w14:textId="77777777" w:rsidR="000A36BB" w:rsidRPr="00826248" w:rsidRDefault="000A36BB" w:rsidP="000A36BB">
      <w:pPr>
        <w:keepNext/>
        <w:widowControl w:val="0"/>
        <w:spacing w:after="0" w:line="240" w:lineRule="auto"/>
        <w:jc w:val="center"/>
        <w:outlineLvl w:val="1"/>
        <w:rPr>
          <w:rFonts w:ascii="Times New Roman" w:eastAsia="Times New Roman" w:hAnsi="Times New Roman" w:cs="Times New Roman"/>
          <w:b/>
          <w:lang w:eastAsia="sq-AL" w:bidi="sq-AL"/>
        </w:rPr>
      </w:pPr>
      <w:r w:rsidRPr="00826248">
        <w:rPr>
          <w:rFonts w:ascii="Times New Roman" w:eastAsia="Times New Roman" w:hAnsi="Times New Roman" w:cs="Times New Roman"/>
          <w:b/>
          <w:lang w:eastAsia="sq-AL" w:bidi="sq-AL"/>
        </w:rPr>
        <w:t>P R O J E K T L I GJ</w:t>
      </w:r>
    </w:p>
    <w:p w14:paraId="3341E559" w14:textId="77777777" w:rsidR="000A36BB" w:rsidRPr="00826248" w:rsidRDefault="000A36BB" w:rsidP="000A36BB">
      <w:pPr>
        <w:keepNext/>
        <w:widowControl w:val="0"/>
        <w:spacing w:after="0" w:line="240" w:lineRule="auto"/>
        <w:jc w:val="center"/>
        <w:outlineLvl w:val="1"/>
        <w:rPr>
          <w:rFonts w:ascii="Times New Roman" w:eastAsia="Times New Roman" w:hAnsi="Times New Roman" w:cs="Times New Roman"/>
          <w:b/>
          <w:lang w:eastAsia="sq-AL" w:bidi="sq-AL"/>
        </w:rPr>
      </w:pPr>
    </w:p>
    <w:p w14:paraId="020857BC" w14:textId="15DEA8D7" w:rsidR="000A36BB" w:rsidRPr="00826248" w:rsidRDefault="000A36BB" w:rsidP="000A36BB">
      <w:pPr>
        <w:keepNext/>
        <w:widowControl w:val="0"/>
        <w:spacing w:after="0" w:line="240" w:lineRule="auto"/>
        <w:jc w:val="center"/>
        <w:outlineLvl w:val="1"/>
        <w:rPr>
          <w:rFonts w:ascii="Times New Roman" w:eastAsia="Times New Roman" w:hAnsi="Times New Roman" w:cs="Times New Roman"/>
          <w:b/>
          <w:lang w:eastAsia="sq-AL" w:bidi="sq-AL"/>
        </w:rPr>
      </w:pPr>
      <w:r w:rsidRPr="00826248">
        <w:rPr>
          <w:rFonts w:ascii="Times New Roman" w:eastAsia="Times New Roman" w:hAnsi="Times New Roman" w:cs="Times New Roman"/>
          <w:b/>
          <w:lang w:eastAsia="sq-AL" w:bidi="sq-AL"/>
        </w:rPr>
        <w:t>Nr.______/_____2026_</w:t>
      </w:r>
    </w:p>
    <w:p w14:paraId="6355934C" w14:textId="423A8AC4" w:rsidR="003E367B" w:rsidRPr="00826248" w:rsidRDefault="003E367B" w:rsidP="00DE37A8">
      <w:pPr>
        <w:autoSpaceDE w:val="0"/>
        <w:autoSpaceDN w:val="0"/>
        <w:adjustRightInd w:val="0"/>
        <w:spacing w:before="240" w:line="276" w:lineRule="auto"/>
        <w:rPr>
          <w:rFonts w:ascii="Times New Roman" w:eastAsia="Arial Unicode MS" w:hAnsi="Times New Roman" w:cs="Times New Roman"/>
          <w:b/>
          <w:bCs/>
          <w:kern w:val="0"/>
          <w:bdr w:val="nil"/>
          <w14:ligatures w14:val="none"/>
        </w:rPr>
      </w:pPr>
      <w:r w:rsidRPr="00826248">
        <w:rPr>
          <w:rFonts w:ascii="Times New Roman" w:eastAsia="Arial Unicode MS" w:hAnsi="Times New Roman" w:cs="Times New Roman"/>
          <w:b/>
          <w:bCs/>
          <w:kern w:val="0"/>
          <w:bdr w:val="nil"/>
          <w14:ligatures w14:val="none"/>
        </w:rPr>
        <w:t>PËR DISA SHTESA DHE NDRYSHIME NË LIGJIN NR. 48/2014</w:t>
      </w:r>
      <w:r w:rsidR="008747C0" w:rsidRPr="00826248">
        <w:rPr>
          <w:rFonts w:ascii="Times New Roman" w:eastAsia="Arial Unicode MS" w:hAnsi="Times New Roman" w:cs="Times New Roman"/>
          <w:b/>
          <w:bCs/>
          <w:kern w:val="0"/>
          <w:bdr w:val="nil"/>
          <w14:ligatures w14:val="none"/>
        </w:rPr>
        <w:t xml:space="preserve"> </w:t>
      </w:r>
      <w:r w:rsidRPr="00826248">
        <w:rPr>
          <w:rFonts w:ascii="Times New Roman" w:eastAsia="Arial Unicode MS" w:hAnsi="Times New Roman" w:cs="Times New Roman"/>
          <w:b/>
          <w:bCs/>
          <w:kern w:val="0"/>
          <w:bdr w:val="nil"/>
          <w14:ligatures w14:val="none"/>
        </w:rPr>
        <w:t xml:space="preserve">“PËR PAGESAT E VONUARA NË DETYRIMET KONTRAKTORE DHE TREGTARE, </w:t>
      </w:r>
      <w:r w:rsidR="00953AA3">
        <w:rPr>
          <w:rFonts w:ascii="Times New Roman" w:eastAsia="Arial Unicode MS" w:hAnsi="Times New Roman" w:cs="Times New Roman"/>
          <w:b/>
          <w:bCs/>
          <w:kern w:val="0"/>
          <w:bdr w:val="nil"/>
          <w14:ligatures w14:val="none"/>
        </w:rPr>
        <w:t>I</w:t>
      </w:r>
      <w:r w:rsidRPr="00826248">
        <w:rPr>
          <w:rFonts w:ascii="Times New Roman" w:eastAsia="Arial Unicode MS" w:hAnsi="Times New Roman" w:cs="Times New Roman"/>
          <w:b/>
          <w:bCs/>
          <w:kern w:val="0"/>
          <w:bdr w:val="nil"/>
          <w14:ligatures w14:val="none"/>
        </w:rPr>
        <w:t xml:space="preserve"> NDRYSHUAR</w:t>
      </w:r>
      <w:bookmarkEnd w:id="0"/>
      <w:r w:rsidRPr="00826248">
        <w:rPr>
          <w:rStyle w:val="FootnoteReference"/>
          <w:rFonts w:ascii="Times New Roman" w:eastAsia="Arial Unicode MS" w:hAnsi="Times New Roman" w:cs="Times New Roman"/>
          <w:b/>
          <w:bCs/>
          <w:kern w:val="0"/>
          <w:bdr w:val="nil"/>
          <w14:ligatures w14:val="none"/>
        </w:rPr>
        <w:footnoteReference w:id="1"/>
      </w:r>
    </w:p>
    <w:p w14:paraId="0F0FD50F" w14:textId="77777777" w:rsidR="00892E9E" w:rsidRPr="00826248" w:rsidRDefault="00892E9E" w:rsidP="00892E9E">
      <w:pPr>
        <w:spacing w:line="240" w:lineRule="auto"/>
        <w:jc w:val="both"/>
        <w:rPr>
          <w:rFonts w:ascii="Times New Roman" w:hAnsi="Times New Roman" w:cs="Times New Roman"/>
          <w:bCs/>
        </w:rPr>
      </w:pPr>
      <w:r w:rsidRPr="00826248">
        <w:rPr>
          <w:rFonts w:ascii="Times New Roman" w:hAnsi="Times New Roman" w:cs="Times New Roman"/>
          <w:bCs/>
        </w:rPr>
        <w:t>Në mbështetje të neneve 78 dhe 83 pika 1 të Kushtetutës, me propozimin e Këshillit të Ministrave,</w:t>
      </w:r>
    </w:p>
    <w:p w14:paraId="6D6D66CE" w14:textId="77777777" w:rsidR="00892E9E" w:rsidRPr="00826248" w:rsidRDefault="00892E9E" w:rsidP="00892E9E">
      <w:pPr>
        <w:spacing w:line="240" w:lineRule="auto"/>
        <w:jc w:val="both"/>
        <w:rPr>
          <w:rFonts w:ascii="Times New Roman" w:hAnsi="Times New Roman" w:cs="Times New Roman"/>
          <w:bCs/>
        </w:rPr>
      </w:pPr>
    </w:p>
    <w:p w14:paraId="190DDC2F" w14:textId="77777777" w:rsidR="00892E9E" w:rsidRPr="00826248" w:rsidRDefault="00892E9E" w:rsidP="00892E9E">
      <w:pPr>
        <w:spacing w:line="240" w:lineRule="auto"/>
        <w:jc w:val="center"/>
        <w:rPr>
          <w:rFonts w:ascii="Times New Roman" w:hAnsi="Times New Roman" w:cs="Times New Roman"/>
          <w:b/>
          <w:bCs/>
        </w:rPr>
      </w:pPr>
      <w:r w:rsidRPr="00826248">
        <w:rPr>
          <w:rFonts w:ascii="Times New Roman" w:hAnsi="Times New Roman" w:cs="Times New Roman"/>
          <w:b/>
          <w:bCs/>
        </w:rPr>
        <w:t>K U V E N D I</w:t>
      </w:r>
    </w:p>
    <w:p w14:paraId="43C4A78E" w14:textId="77777777" w:rsidR="00892E9E" w:rsidRPr="00826248" w:rsidRDefault="00892E9E" w:rsidP="00892E9E">
      <w:pPr>
        <w:spacing w:line="240" w:lineRule="auto"/>
        <w:jc w:val="center"/>
        <w:rPr>
          <w:rFonts w:ascii="Times New Roman" w:hAnsi="Times New Roman" w:cs="Times New Roman"/>
          <w:b/>
          <w:bCs/>
        </w:rPr>
      </w:pPr>
      <w:r w:rsidRPr="00826248">
        <w:rPr>
          <w:rFonts w:ascii="Times New Roman" w:hAnsi="Times New Roman" w:cs="Times New Roman"/>
          <w:b/>
          <w:bCs/>
        </w:rPr>
        <w:t>I REPUBLIKËS SË SHQIPËRISË</w:t>
      </w:r>
    </w:p>
    <w:p w14:paraId="5758CF59" w14:textId="1D6CE1D8" w:rsidR="00892E9E" w:rsidRPr="00826248" w:rsidRDefault="00892E9E" w:rsidP="00BF6342">
      <w:pPr>
        <w:spacing w:line="240" w:lineRule="auto"/>
        <w:jc w:val="center"/>
        <w:rPr>
          <w:rFonts w:ascii="Times New Roman" w:hAnsi="Times New Roman" w:cs="Times New Roman"/>
        </w:rPr>
      </w:pPr>
      <w:r w:rsidRPr="00826248">
        <w:rPr>
          <w:rFonts w:ascii="Times New Roman" w:hAnsi="Times New Roman" w:cs="Times New Roman"/>
          <w:b/>
          <w:bCs/>
        </w:rPr>
        <w:t>V E N D O S I:</w:t>
      </w:r>
    </w:p>
    <w:p w14:paraId="7931A57B" w14:textId="77777777" w:rsidR="00892E9E" w:rsidRPr="00826248" w:rsidRDefault="00892E9E" w:rsidP="00892E9E">
      <w:pPr>
        <w:spacing w:after="0" w:line="240" w:lineRule="auto"/>
        <w:jc w:val="center"/>
        <w:rPr>
          <w:rFonts w:ascii="Times New Roman" w:hAnsi="Times New Roman" w:cs="Times New Roman"/>
          <w:b/>
          <w:bCs/>
        </w:rPr>
      </w:pPr>
    </w:p>
    <w:p w14:paraId="7ED2ACC1" w14:textId="3CA5B7DF" w:rsidR="003E367B" w:rsidRPr="00826248" w:rsidRDefault="00C43F3D" w:rsidP="003E367B">
      <w:pPr>
        <w:autoSpaceDE w:val="0"/>
        <w:autoSpaceDN w:val="0"/>
        <w:adjustRightInd w:val="0"/>
        <w:spacing w:before="240" w:line="276" w:lineRule="auto"/>
        <w:jc w:val="both"/>
        <w:rPr>
          <w:rFonts w:ascii="Times New Roman" w:eastAsia="Arial Unicode MS" w:hAnsi="Times New Roman" w:cs="Times New Roman"/>
          <w:kern w:val="0"/>
          <w:bdr w:val="nil"/>
          <w14:ligatures w14:val="none"/>
        </w:rPr>
      </w:pPr>
      <w:r w:rsidRPr="00826248">
        <w:rPr>
          <w:rFonts w:ascii="Times New Roman" w:eastAsia="Arial Unicode MS" w:hAnsi="Times New Roman" w:cs="Times New Roman"/>
          <w:kern w:val="0"/>
          <w:bdr w:val="nil"/>
          <w14:ligatures w14:val="none"/>
        </w:rPr>
        <w:t>Në ligjin nr. 48/2014 “Për pagesat e vonuara në detyrimet kontraktore dhe tregtare”,</w:t>
      </w:r>
      <w:r w:rsidR="005F096F" w:rsidRPr="00826248">
        <w:rPr>
          <w:rFonts w:ascii="Times New Roman" w:eastAsia="Arial Unicode MS" w:hAnsi="Times New Roman" w:cs="Times New Roman"/>
          <w:kern w:val="0"/>
          <w:bdr w:val="nil"/>
          <w14:ligatures w14:val="none"/>
        </w:rPr>
        <w:t xml:space="preserve"> i ndryshuar</w:t>
      </w:r>
      <w:r w:rsidR="003E367B" w:rsidRPr="00826248">
        <w:rPr>
          <w:rFonts w:ascii="Times New Roman" w:eastAsia="Arial Unicode MS" w:hAnsi="Times New Roman" w:cs="Times New Roman"/>
          <w:kern w:val="0"/>
          <w:bdr w:val="nil"/>
          <w14:ligatures w14:val="none"/>
        </w:rPr>
        <w:t xml:space="preserve"> bëhen këto shtesa dhe ndryshime: </w:t>
      </w:r>
    </w:p>
    <w:p w14:paraId="733A755A" w14:textId="77777777" w:rsidR="003E367B" w:rsidRPr="00826248" w:rsidRDefault="003E367B" w:rsidP="00691B35">
      <w:pPr>
        <w:autoSpaceDE w:val="0"/>
        <w:autoSpaceDN w:val="0"/>
        <w:adjustRightInd w:val="0"/>
        <w:spacing w:before="240" w:line="276" w:lineRule="auto"/>
        <w:ind w:firstLine="284"/>
        <w:jc w:val="center"/>
        <w:rPr>
          <w:rFonts w:ascii="Times New Roman" w:eastAsia="Arial Unicode MS" w:hAnsi="Times New Roman" w:cs="Times New Roman"/>
          <w:b/>
          <w:bCs/>
          <w:kern w:val="0"/>
          <w:bdr w:val="nil"/>
          <w14:ligatures w14:val="none"/>
        </w:rPr>
      </w:pPr>
      <w:r w:rsidRPr="00826248">
        <w:rPr>
          <w:rFonts w:ascii="Times New Roman" w:eastAsia="Arial Unicode MS" w:hAnsi="Times New Roman" w:cs="Times New Roman"/>
          <w:b/>
          <w:bCs/>
          <w:kern w:val="0"/>
          <w:bdr w:val="nil"/>
          <w14:ligatures w14:val="none"/>
        </w:rPr>
        <w:t>Neni 1</w:t>
      </w:r>
    </w:p>
    <w:p w14:paraId="22FD3418" w14:textId="0915C8AA" w:rsidR="005726BD" w:rsidRPr="00826248" w:rsidRDefault="00691B35" w:rsidP="00C43F3D">
      <w:pPr>
        <w:jc w:val="both"/>
        <w:rPr>
          <w:rFonts w:ascii="Times New Roman" w:hAnsi="Times New Roman" w:cs="Times New Roman"/>
        </w:rPr>
      </w:pPr>
      <w:r w:rsidRPr="00826248">
        <w:rPr>
          <w:rFonts w:ascii="Times New Roman" w:hAnsi="Times New Roman" w:cs="Times New Roman"/>
        </w:rPr>
        <w:t xml:space="preserve">1. </w:t>
      </w:r>
      <w:r w:rsidR="00C43F3D" w:rsidRPr="00826248">
        <w:rPr>
          <w:rFonts w:ascii="Times New Roman" w:hAnsi="Times New Roman" w:cs="Times New Roman"/>
        </w:rPr>
        <w:t>N</w:t>
      </w:r>
      <w:r w:rsidR="004C3898" w:rsidRPr="00826248">
        <w:rPr>
          <w:rFonts w:ascii="Times New Roman" w:hAnsi="Times New Roman" w:cs="Times New Roman"/>
        </w:rPr>
        <w:t>ë</w:t>
      </w:r>
      <w:r w:rsidR="00C43F3D" w:rsidRPr="00826248">
        <w:rPr>
          <w:rFonts w:ascii="Times New Roman" w:hAnsi="Times New Roman" w:cs="Times New Roman"/>
        </w:rPr>
        <w:t xml:space="preserve"> nenin 3, pika</w:t>
      </w:r>
      <w:r w:rsidR="005D4A3C" w:rsidRPr="00826248">
        <w:rPr>
          <w:rFonts w:ascii="Times New Roman" w:hAnsi="Times New Roman" w:cs="Times New Roman"/>
        </w:rPr>
        <w:t>t</w:t>
      </w:r>
      <w:r w:rsidR="00C43F3D" w:rsidRPr="00826248">
        <w:rPr>
          <w:rFonts w:ascii="Times New Roman" w:hAnsi="Times New Roman" w:cs="Times New Roman"/>
        </w:rPr>
        <w:t xml:space="preserve"> </w:t>
      </w:r>
      <w:r w:rsidRPr="00826248">
        <w:rPr>
          <w:rFonts w:ascii="Times New Roman" w:hAnsi="Times New Roman" w:cs="Times New Roman"/>
        </w:rPr>
        <w:t>2, 3</w:t>
      </w:r>
      <w:r w:rsidR="005D4A3C" w:rsidRPr="00826248">
        <w:rPr>
          <w:rFonts w:ascii="Times New Roman" w:hAnsi="Times New Roman" w:cs="Times New Roman"/>
        </w:rPr>
        <w:t xml:space="preserve">, </w:t>
      </w:r>
      <w:r w:rsidR="00F15BA0" w:rsidRPr="00826248">
        <w:rPr>
          <w:rFonts w:ascii="Times New Roman" w:hAnsi="Times New Roman" w:cs="Times New Roman"/>
        </w:rPr>
        <w:t xml:space="preserve">10, 11 dhe 12 </w:t>
      </w:r>
      <w:r w:rsidR="00C43F3D" w:rsidRPr="00826248">
        <w:rPr>
          <w:rFonts w:ascii="Times New Roman" w:hAnsi="Times New Roman" w:cs="Times New Roman"/>
        </w:rPr>
        <w:t>ndryshojn</w:t>
      </w:r>
      <w:r w:rsidR="004C3898" w:rsidRPr="00826248">
        <w:rPr>
          <w:rFonts w:ascii="Times New Roman" w:hAnsi="Times New Roman" w:cs="Times New Roman"/>
        </w:rPr>
        <w:t>ë</w:t>
      </w:r>
      <w:r w:rsidR="00C43F3D" w:rsidRPr="00826248">
        <w:rPr>
          <w:rFonts w:ascii="Times New Roman" w:hAnsi="Times New Roman" w:cs="Times New Roman"/>
        </w:rPr>
        <w:t xml:space="preserve"> m</w:t>
      </w:r>
      <w:r w:rsidR="004C3898" w:rsidRPr="00826248">
        <w:rPr>
          <w:rFonts w:ascii="Times New Roman" w:hAnsi="Times New Roman" w:cs="Times New Roman"/>
        </w:rPr>
        <w:t>ë</w:t>
      </w:r>
      <w:r w:rsidR="00C43F3D" w:rsidRPr="00826248">
        <w:rPr>
          <w:rFonts w:ascii="Times New Roman" w:hAnsi="Times New Roman" w:cs="Times New Roman"/>
        </w:rPr>
        <w:t xml:space="preserve"> p</w:t>
      </w:r>
      <w:r w:rsidR="004C3898" w:rsidRPr="00826248">
        <w:rPr>
          <w:rFonts w:ascii="Times New Roman" w:hAnsi="Times New Roman" w:cs="Times New Roman"/>
        </w:rPr>
        <w:t>ë</w:t>
      </w:r>
      <w:r w:rsidR="00C43F3D" w:rsidRPr="00826248">
        <w:rPr>
          <w:rFonts w:ascii="Times New Roman" w:hAnsi="Times New Roman" w:cs="Times New Roman"/>
        </w:rPr>
        <w:t>rmbajtjen si vijon:</w:t>
      </w:r>
    </w:p>
    <w:p w14:paraId="58B2A551" w14:textId="39166C0C" w:rsidR="00C43F3D" w:rsidRPr="00826248" w:rsidRDefault="00691B35" w:rsidP="00691B35">
      <w:pPr>
        <w:ind w:left="360"/>
        <w:jc w:val="both"/>
        <w:rPr>
          <w:rFonts w:ascii="Times New Roman" w:hAnsi="Times New Roman" w:cs="Times New Roman"/>
        </w:rPr>
      </w:pPr>
      <w:r w:rsidRPr="00826248">
        <w:rPr>
          <w:rFonts w:ascii="Times New Roman" w:hAnsi="Times New Roman" w:cs="Times New Roman"/>
        </w:rPr>
        <w:t>2</w:t>
      </w:r>
      <w:r w:rsidR="00C43F3D" w:rsidRPr="00826248">
        <w:rPr>
          <w:rFonts w:ascii="Times New Roman" w:hAnsi="Times New Roman" w:cs="Times New Roman"/>
        </w:rPr>
        <w:t>.</w:t>
      </w:r>
      <w:r w:rsidR="00C43F3D" w:rsidRPr="00826248">
        <w:rPr>
          <w:rFonts w:ascii="Times New Roman" w:hAnsi="Times New Roman" w:cs="Times New Roman"/>
          <w:b/>
          <w:bCs/>
        </w:rPr>
        <w:t xml:space="preserve"> “Autoritet publik”</w:t>
      </w:r>
      <w:r w:rsidR="00BF6342" w:rsidRPr="00826248">
        <w:rPr>
          <w:rFonts w:ascii="Times New Roman" w:hAnsi="Times New Roman" w:cs="Times New Roman"/>
        </w:rPr>
        <w:t>,</w:t>
      </w:r>
      <w:r w:rsidR="00C43F3D" w:rsidRPr="00826248">
        <w:rPr>
          <w:rFonts w:ascii="Times New Roman" w:hAnsi="Times New Roman" w:cs="Times New Roman"/>
        </w:rPr>
        <w:t xml:space="preserve"> është çdo autoritet kontraktor shtetëror, ku përfshihen njësitë e qeverisjes qendrore, vendore, institucionet e fondeve speciale bashkimet, grupimet ose entitetet e përbashkëta të formuara nga një ose më shumë prej këtyre autoriteteve apo organeve, pavarësisht nga objekti, subjekti apo vlera e kontratës.</w:t>
      </w:r>
    </w:p>
    <w:p w14:paraId="6BCE8827" w14:textId="755EAF06" w:rsidR="005D4A3C" w:rsidRPr="00826248" w:rsidRDefault="00691B35" w:rsidP="00691B35">
      <w:pPr>
        <w:ind w:left="360"/>
        <w:jc w:val="both"/>
        <w:rPr>
          <w:rFonts w:ascii="Times New Roman" w:hAnsi="Times New Roman" w:cs="Times New Roman"/>
        </w:rPr>
      </w:pPr>
      <w:r w:rsidRPr="00826248">
        <w:rPr>
          <w:rFonts w:ascii="Times New Roman" w:hAnsi="Times New Roman" w:cs="Times New Roman"/>
        </w:rPr>
        <w:t>3</w:t>
      </w:r>
      <w:r w:rsidR="005D4A3C" w:rsidRPr="00826248">
        <w:rPr>
          <w:rFonts w:ascii="Times New Roman" w:hAnsi="Times New Roman" w:cs="Times New Roman"/>
        </w:rPr>
        <w:t xml:space="preserve">. </w:t>
      </w:r>
      <w:r w:rsidR="005D4A3C" w:rsidRPr="00826248">
        <w:rPr>
          <w:rFonts w:ascii="Times New Roman" w:hAnsi="Times New Roman" w:cs="Times New Roman"/>
          <w:b/>
          <w:bCs/>
        </w:rPr>
        <w:t>“Sipërmarrje”</w:t>
      </w:r>
      <w:r w:rsidR="005D4A3C" w:rsidRPr="00826248">
        <w:rPr>
          <w:rFonts w:ascii="Times New Roman" w:hAnsi="Times New Roman" w:cs="Times New Roman"/>
        </w:rPr>
        <w:t xml:space="preserve"> është çdo formë organizimi ose subjekt, me përjashtim të një autoriteti publik, që vepron në kuadër të veprimtarisë së tij të pavarur ekonomike apo profesionale, edhe kur kjo veprimtari ushtrohet nga një person i vetëm (si person fizik/tregtar individ apo profesion i lirë).</w:t>
      </w:r>
    </w:p>
    <w:p w14:paraId="40861829" w14:textId="77777777" w:rsidR="00F15BA0" w:rsidRPr="00826248" w:rsidRDefault="00F15BA0" w:rsidP="00F15BA0">
      <w:pPr>
        <w:ind w:left="360"/>
        <w:jc w:val="both"/>
        <w:rPr>
          <w:rFonts w:ascii="Times New Roman" w:hAnsi="Times New Roman" w:cs="Times New Roman"/>
        </w:rPr>
      </w:pPr>
      <w:r w:rsidRPr="00826248">
        <w:rPr>
          <w:rFonts w:ascii="Times New Roman" w:hAnsi="Times New Roman" w:cs="Times New Roman"/>
          <w:b/>
          <w:bCs/>
        </w:rPr>
        <w:lastRenderedPageBreak/>
        <w:t>10. “Norma bazë e interesit për lekun”</w:t>
      </w:r>
      <w:r w:rsidRPr="00826248">
        <w:rPr>
          <w:rFonts w:ascii="Times New Roman" w:hAnsi="Times New Roman" w:cs="Times New Roman"/>
        </w:rPr>
        <w:t xml:space="preserve"> është norma e interesit të marrëveshjeve të riblerjes dhe të anasjellta të riblerjes (REPO dhe REPO të anasjellta), e miratuar me vendimin e Këshillit Mbikëqyrës të Bankës së Shqipërisë, ose norma marxhinale e interesit që rezulton nga procedurat e ankandit me normë të ndryshueshme për këto operacione.</w:t>
      </w:r>
    </w:p>
    <w:p w14:paraId="7359BDB3" w14:textId="77777777" w:rsidR="00F15BA0" w:rsidRPr="00826248" w:rsidRDefault="00F15BA0" w:rsidP="00F15BA0">
      <w:pPr>
        <w:ind w:left="360"/>
        <w:jc w:val="both"/>
        <w:rPr>
          <w:rFonts w:ascii="Times New Roman" w:hAnsi="Times New Roman" w:cs="Times New Roman"/>
        </w:rPr>
      </w:pPr>
      <w:r w:rsidRPr="00826248">
        <w:rPr>
          <w:rFonts w:ascii="Times New Roman" w:hAnsi="Times New Roman" w:cs="Times New Roman"/>
          <w:b/>
          <w:bCs/>
        </w:rPr>
        <w:t>11. “Norma bazë e interesit për zonën euro”</w:t>
      </w:r>
      <w:r w:rsidRPr="00826248">
        <w:rPr>
          <w:rFonts w:ascii="Times New Roman" w:hAnsi="Times New Roman" w:cs="Times New Roman"/>
        </w:rPr>
        <w:t xml:space="preserve"> është norma e interesit të operacioneve kryesore të rifinancimit, e miratuar me vendimin e Këshillit Drejtues të Bankës Qendrore Europiane, ose norma marxhinale e interesit që rezulton nga procedurat e ankandit me normë të ndryshueshme për operacionet më të fundit kryesore të rifinancimit të Bankës Qendrore Europiane.</w:t>
      </w:r>
    </w:p>
    <w:p w14:paraId="54CF6FF1" w14:textId="77777777" w:rsidR="00F15BA0" w:rsidRPr="00826248" w:rsidRDefault="00F15BA0" w:rsidP="00F15BA0">
      <w:pPr>
        <w:ind w:left="360"/>
        <w:jc w:val="both"/>
        <w:rPr>
          <w:rFonts w:ascii="Times New Roman" w:hAnsi="Times New Roman" w:cs="Times New Roman"/>
        </w:rPr>
      </w:pPr>
      <w:r w:rsidRPr="00826248">
        <w:rPr>
          <w:rFonts w:ascii="Times New Roman" w:hAnsi="Times New Roman" w:cs="Times New Roman"/>
          <w:b/>
          <w:bCs/>
        </w:rPr>
        <w:t>12. “Norma bazë e interesit në monedhë të huaj”</w:t>
      </w:r>
      <w:r w:rsidRPr="00826248">
        <w:rPr>
          <w:rFonts w:ascii="Times New Roman" w:hAnsi="Times New Roman" w:cs="Times New Roman"/>
        </w:rPr>
        <w:t xml:space="preserve"> është norma e interesit të operacioneve kryesore të rifinancimit, e miratuar nga organet kompetente të bankave qendrore që emetojnë monedhën në të cilën është bërë pagesa, ose norma marxhinale e interesit që rezulton nga procedurat e ankandit me normë të ndryshueshme për operacionet e rifinancimit të këtyre bankave qendrore.</w:t>
      </w:r>
    </w:p>
    <w:p w14:paraId="1CDADECF" w14:textId="2C26FEC5" w:rsidR="00691B35" w:rsidRPr="00826248" w:rsidRDefault="00691B35" w:rsidP="00C43F3D">
      <w:pPr>
        <w:jc w:val="both"/>
        <w:rPr>
          <w:rFonts w:ascii="Times New Roman" w:hAnsi="Times New Roman" w:cs="Times New Roman"/>
        </w:rPr>
      </w:pPr>
      <w:r w:rsidRPr="00826248">
        <w:rPr>
          <w:rFonts w:ascii="Times New Roman" w:hAnsi="Times New Roman" w:cs="Times New Roman"/>
        </w:rPr>
        <w:t>2. N</w:t>
      </w:r>
      <w:r w:rsidR="004C3898" w:rsidRPr="00826248">
        <w:rPr>
          <w:rFonts w:ascii="Times New Roman" w:hAnsi="Times New Roman" w:cs="Times New Roman"/>
        </w:rPr>
        <w:t>ë</w:t>
      </w:r>
      <w:r w:rsidRPr="00826248">
        <w:rPr>
          <w:rFonts w:ascii="Times New Roman" w:hAnsi="Times New Roman" w:cs="Times New Roman"/>
        </w:rPr>
        <w:t xml:space="preserve"> nenin 3, pas pik</w:t>
      </w:r>
      <w:r w:rsidR="004C3898" w:rsidRPr="00826248">
        <w:rPr>
          <w:rFonts w:ascii="Times New Roman" w:hAnsi="Times New Roman" w:cs="Times New Roman"/>
        </w:rPr>
        <w:t>ë</w:t>
      </w:r>
      <w:r w:rsidRPr="00826248">
        <w:rPr>
          <w:rFonts w:ascii="Times New Roman" w:hAnsi="Times New Roman" w:cs="Times New Roman"/>
        </w:rPr>
        <w:t>s 14, shtohet pika 15 me p</w:t>
      </w:r>
      <w:r w:rsidR="004C3898" w:rsidRPr="00826248">
        <w:rPr>
          <w:rFonts w:ascii="Times New Roman" w:hAnsi="Times New Roman" w:cs="Times New Roman"/>
        </w:rPr>
        <w:t>ë</w:t>
      </w:r>
      <w:r w:rsidRPr="00826248">
        <w:rPr>
          <w:rFonts w:ascii="Times New Roman" w:hAnsi="Times New Roman" w:cs="Times New Roman"/>
        </w:rPr>
        <w:t>rmbajtjen si vijon:</w:t>
      </w:r>
    </w:p>
    <w:p w14:paraId="76D607AF" w14:textId="32F29B83" w:rsidR="00095DAD" w:rsidRPr="00826248" w:rsidRDefault="00691B35" w:rsidP="00C43F3D">
      <w:pPr>
        <w:jc w:val="both"/>
        <w:rPr>
          <w:rFonts w:ascii="Times New Roman" w:hAnsi="Times New Roman" w:cs="Times New Roman"/>
        </w:rPr>
      </w:pPr>
      <w:r w:rsidRPr="00826248">
        <w:rPr>
          <w:rFonts w:ascii="Times New Roman" w:hAnsi="Times New Roman" w:cs="Times New Roman"/>
        </w:rPr>
        <w:t xml:space="preserve">15. </w:t>
      </w:r>
      <w:r w:rsidR="004C3898" w:rsidRPr="00826248">
        <w:rPr>
          <w:rFonts w:ascii="Times New Roman" w:hAnsi="Times New Roman" w:cs="Times New Roman"/>
        </w:rPr>
        <w:t>“</w:t>
      </w:r>
      <w:r w:rsidR="004C3898" w:rsidRPr="00826248">
        <w:rPr>
          <w:rFonts w:ascii="Times New Roman" w:hAnsi="Times New Roman" w:cs="Times New Roman"/>
          <w:b/>
          <w:bCs/>
        </w:rPr>
        <w:t>Kamatëvonesë për pagesat e vonuara”</w:t>
      </w:r>
      <w:r w:rsidR="004C3898" w:rsidRPr="00826248">
        <w:rPr>
          <w:rFonts w:ascii="Times New Roman" w:hAnsi="Times New Roman" w:cs="Times New Roman"/>
        </w:rPr>
        <w:t xml:space="preserve"> është kamatëvonesa ligjore për pagesën e vonuar ose kamatëvonesa me një normë të rënë dakord me marrëveshje ndërmjet sipërmarrjeve, në përputhje me dispozitat e këtij ligji që rregullojnë kushtet e padrejta kontraktuale.</w:t>
      </w:r>
    </w:p>
    <w:p w14:paraId="52C6B2AE" w14:textId="47793499" w:rsidR="00095DAD" w:rsidRPr="00826248" w:rsidRDefault="00095DAD" w:rsidP="00095DAD">
      <w:pPr>
        <w:jc w:val="center"/>
        <w:rPr>
          <w:rFonts w:ascii="Times New Roman" w:hAnsi="Times New Roman" w:cs="Times New Roman"/>
          <w:b/>
          <w:bCs/>
        </w:rPr>
      </w:pPr>
      <w:r w:rsidRPr="00826248">
        <w:rPr>
          <w:rFonts w:ascii="Times New Roman" w:hAnsi="Times New Roman" w:cs="Times New Roman"/>
          <w:b/>
          <w:bCs/>
        </w:rPr>
        <w:t>Neni 2</w:t>
      </w:r>
    </w:p>
    <w:p w14:paraId="1681D1CD" w14:textId="2AAAB2C5" w:rsidR="009D151E" w:rsidRPr="00826248" w:rsidRDefault="009D151E" w:rsidP="009D151E">
      <w:pPr>
        <w:pStyle w:val="ListParagraph"/>
        <w:numPr>
          <w:ilvl w:val="0"/>
          <w:numId w:val="2"/>
        </w:numPr>
        <w:jc w:val="both"/>
        <w:rPr>
          <w:rFonts w:ascii="Times New Roman" w:hAnsi="Times New Roman" w:cs="Times New Roman"/>
        </w:rPr>
      </w:pPr>
      <w:r w:rsidRPr="00826248">
        <w:rPr>
          <w:rFonts w:ascii="Times New Roman" w:hAnsi="Times New Roman" w:cs="Times New Roman"/>
        </w:rPr>
        <w:t xml:space="preserve">Titulli i </w:t>
      </w:r>
      <w:r w:rsidR="00FD488A" w:rsidRPr="00826248">
        <w:rPr>
          <w:rFonts w:ascii="Times New Roman" w:hAnsi="Times New Roman" w:cs="Times New Roman"/>
        </w:rPr>
        <w:t xml:space="preserve">Neni 6 ndryshon </w:t>
      </w:r>
      <w:r w:rsidRPr="00826248">
        <w:rPr>
          <w:rFonts w:ascii="Times New Roman" w:hAnsi="Times New Roman" w:cs="Times New Roman"/>
        </w:rPr>
        <w:t>n</w:t>
      </w:r>
      <w:r w:rsidR="00411438" w:rsidRPr="00826248">
        <w:rPr>
          <w:rFonts w:ascii="Times New Roman" w:hAnsi="Times New Roman" w:cs="Times New Roman"/>
        </w:rPr>
        <w:t>ë</w:t>
      </w:r>
      <w:r w:rsidRPr="00826248">
        <w:rPr>
          <w:rFonts w:ascii="Times New Roman" w:hAnsi="Times New Roman" w:cs="Times New Roman"/>
        </w:rPr>
        <w:t xml:space="preserve"> “Afatet e pages</w:t>
      </w:r>
      <w:r w:rsidR="00411438" w:rsidRPr="00826248">
        <w:rPr>
          <w:rFonts w:ascii="Times New Roman" w:hAnsi="Times New Roman" w:cs="Times New Roman"/>
        </w:rPr>
        <w:t>ë</w:t>
      </w:r>
      <w:r w:rsidRPr="00826248">
        <w:rPr>
          <w:rFonts w:ascii="Times New Roman" w:hAnsi="Times New Roman" w:cs="Times New Roman"/>
        </w:rPr>
        <w:t>s dhe të drejtat e kreditorit në transaksionet midis sipërmarrjeve”.</w:t>
      </w:r>
    </w:p>
    <w:p w14:paraId="42CD8291" w14:textId="77777777" w:rsidR="009D151E" w:rsidRPr="00826248" w:rsidRDefault="009D151E" w:rsidP="009D151E">
      <w:pPr>
        <w:pStyle w:val="ListParagraph"/>
        <w:jc w:val="both"/>
        <w:rPr>
          <w:rFonts w:ascii="Times New Roman" w:hAnsi="Times New Roman" w:cs="Times New Roman"/>
        </w:rPr>
      </w:pPr>
    </w:p>
    <w:p w14:paraId="54EB73EB" w14:textId="1510C338" w:rsidR="00095DAD" w:rsidRPr="00826248" w:rsidRDefault="009D151E" w:rsidP="00AB3685">
      <w:pPr>
        <w:pStyle w:val="ListParagraph"/>
        <w:numPr>
          <w:ilvl w:val="0"/>
          <w:numId w:val="2"/>
        </w:numPr>
        <w:jc w:val="both"/>
        <w:rPr>
          <w:rFonts w:ascii="Times New Roman" w:hAnsi="Times New Roman" w:cs="Times New Roman"/>
        </w:rPr>
      </w:pPr>
      <w:r w:rsidRPr="00826248">
        <w:rPr>
          <w:rFonts w:ascii="Times New Roman" w:hAnsi="Times New Roman" w:cs="Times New Roman"/>
        </w:rPr>
        <w:t xml:space="preserve">Neni 6 </w:t>
      </w:r>
      <w:r w:rsidR="00411438" w:rsidRPr="00826248">
        <w:rPr>
          <w:rFonts w:ascii="Times New Roman" w:hAnsi="Times New Roman" w:cs="Times New Roman"/>
        </w:rPr>
        <w:t>n</w:t>
      </w:r>
      <w:r w:rsidRPr="00826248">
        <w:rPr>
          <w:rFonts w:ascii="Times New Roman" w:hAnsi="Times New Roman" w:cs="Times New Roman"/>
        </w:rPr>
        <w:t xml:space="preserve">dryshon </w:t>
      </w:r>
      <w:r w:rsidR="00FD488A" w:rsidRPr="00826248">
        <w:rPr>
          <w:rFonts w:ascii="Times New Roman" w:hAnsi="Times New Roman" w:cs="Times New Roman"/>
        </w:rPr>
        <w:t>me p</w:t>
      </w:r>
      <w:r w:rsidR="00411438" w:rsidRPr="00826248">
        <w:rPr>
          <w:rFonts w:ascii="Times New Roman" w:hAnsi="Times New Roman" w:cs="Times New Roman"/>
        </w:rPr>
        <w:t>ë</w:t>
      </w:r>
      <w:r w:rsidR="00FD488A" w:rsidRPr="00826248">
        <w:rPr>
          <w:rFonts w:ascii="Times New Roman" w:hAnsi="Times New Roman" w:cs="Times New Roman"/>
        </w:rPr>
        <w:t>rmbajtjen si vijon:</w:t>
      </w:r>
    </w:p>
    <w:p w14:paraId="422BB96C" w14:textId="77777777" w:rsidR="00FD488A" w:rsidRPr="00826248" w:rsidRDefault="00FD488A" w:rsidP="00FD488A">
      <w:pPr>
        <w:spacing w:line="256" w:lineRule="auto"/>
        <w:jc w:val="center"/>
        <w:rPr>
          <w:rFonts w:eastAsia="Calibri"/>
        </w:rPr>
      </w:pPr>
      <w:r w:rsidRPr="00826248">
        <w:rPr>
          <w:rFonts w:ascii="Times New Roman" w:eastAsia="Calibri" w:hAnsi="Times New Roman" w:cs="Times New Roman"/>
          <w:b/>
          <w:bCs/>
        </w:rPr>
        <w:t>Neni 6</w:t>
      </w:r>
      <w:r w:rsidRPr="00826248">
        <w:rPr>
          <w:rFonts w:ascii="Times New Roman" w:eastAsia="Calibri" w:hAnsi="Times New Roman" w:cs="Times New Roman"/>
        </w:rPr>
        <w:t xml:space="preserve"> </w:t>
      </w:r>
    </w:p>
    <w:p w14:paraId="3E4AA862" w14:textId="7F6F013E" w:rsidR="009D151E" w:rsidRPr="00826248" w:rsidRDefault="00EA042B" w:rsidP="00EA042B">
      <w:pPr>
        <w:spacing w:line="256" w:lineRule="auto"/>
        <w:rPr>
          <w:rFonts w:eastAsia="Calibri"/>
          <w:b/>
          <w:bCs/>
        </w:rPr>
      </w:pPr>
      <w:r>
        <w:rPr>
          <w:rFonts w:ascii="Times New Roman" w:hAnsi="Times New Roman" w:cs="Times New Roman"/>
          <w:b/>
          <w:bCs/>
        </w:rPr>
        <w:t xml:space="preserve">           </w:t>
      </w:r>
      <w:r w:rsidR="009D151E" w:rsidRPr="00826248">
        <w:rPr>
          <w:rFonts w:ascii="Times New Roman" w:hAnsi="Times New Roman" w:cs="Times New Roman"/>
          <w:b/>
          <w:bCs/>
        </w:rPr>
        <w:t>Afatet e pages</w:t>
      </w:r>
      <w:r w:rsidR="00411438" w:rsidRPr="00826248">
        <w:rPr>
          <w:rFonts w:ascii="Times New Roman" w:hAnsi="Times New Roman" w:cs="Times New Roman"/>
          <w:b/>
          <w:bCs/>
        </w:rPr>
        <w:t>ë</w:t>
      </w:r>
      <w:r w:rsidR="009D151E" w:rsidRPr="00826248">
        <w:rPr>
          <w:rFonts w:ascii="Times New Roman" w:hAnsi="Times New Roman" w:cs="Times New Roman"/>
          <w:b/>
          <w:bCs/>
        </w:rPr>
        <w:t>s dhe të drejtat e kreditorit në transaksionet midis sipërmarrjeve</w:t>
      </w:r>
    </w:p>
    <w:p w14:paraId="0B042209" w14:textId="77777777" w:rsidR="009D151E" w:rsidRPr="00826248" w:rsidRDefault="009D151E" w:rsidP="009D151E">
      <w:pPr>
        <w:pStyle w:val="NormalWeb"/>
        <w:numPr>
          <w:ilvl w:val="0"/>
          <w:numId w:val="1"/>
        </w:numPr>
        <w:spacing w:before="0" w:beforeAutospacing="0" w:after="0" w:afterAutospacing="0"/>
        <w:jc w:val="both"/>
        <w:rPr>
          <w:lang w:val="sq-AL"/>
        </w:rPr>
      </w:pPr>
      <w:r w:rsidRPr="00826248">
        <w:rPr>
          <w:lang w:val="sq-AL"/>
        </w:rPr>
        <w:t xml:space="preserve">Në transaksionet tregtare ndërmjet sipërmarrjeve, kreditori ka të drejtë të përfitojë kamatëvonesë pa qenë e nevojshme dërgimi i një njoftimi apo kujtese për pagesë, nëse janë përmbushur kushtet e mëposhtme: </w:t>
      </w:r>
    </w:p>
    <w:p w14:paraId="18026C70" w14:textId="77777777" w:rsidR="009D151E" w:rsidRPr="00826248" w:rsidRDefault="009D151E" w:rsidP="009D151E">
      <w:pPr>
        <w:pStyle w:val="NormalWeb"/>
        <w:spacing w:before="0" w:beforeAutospacing="0" w:after="0" w:afterAutospacing="0"/>
        <w:ind w:left="540"/>
        <w:jc w:val="both"/>
        <w:rPr>
          <w:lang w:val="sq-AL"/>
        </w:rPr>
      </w:pPr>
      <w:r w:rsidRPr="00826248">
        <w:rPr>
          <w:lang w:val="sq-AL"/>
        </w:rPr>
        <w:t xml:space="preserve">a) kreditori ka përmbushur detyrimet e tij kontraktuale dhe ligjore; dhe </w:t>
      </w:r>
    </w:p>
    <w:p w14:paraId="07E3A681" w14:textId="77ECAB3B" w:rsidR="009D151E" w:rsidRPr="00826248" w:rsidRDefault="009D151E" w:rsidP="009D151E">
      <w:pPr>
        <w:pStyle w:val="NormalWeb"/>
        <w:spacing w:before="0" w:beforeAutospacing="0" w:after="0" w:afterAutospacing="0"/>
        <w:ind w:left="540"/>
        <w:jc w:val="both"/>
        <w:rPr>
          <w:lang w:val="sq-AL"/>
        </w:rPr>
      </w:pPr>
      <w:r w:rsidRPr="00826248">
        <w:rPr>
          <w:lang w:val="sq-AL"/>
        </w:rPr>
        <w:t xml:space="preserve">b) kreditori nuk e ka marrë </w:t>
      </w:r>
      <w:r w:rsidR="007A4BFB" w:rsidRPr="00826248">
        <w:rPr>
          <w:lang w:val="sq-AL"/>
        </w:rPr>
        <w:t>pages</w:t>
      </w:r>
      <w:r w:rsidR="00411438" w:rsidRPr="00826248">
        <w:rPr>
          <w:lang w:val="sq-AL"/>
        </w:rPr>
        <w:t>ë</w:t>
      </w:r>
      <w:r w:rsidR="007A4BFB" w:rsidRPr="00826248">
        <w:rPr>
          <w:lang w:val="sq-AL"/>
        </w:rPr>
        <w:t>n</w:t>
      </w:r>
      <w:r w:rsidRPr="00826248">
        <w:rPr>
          <w:lang w:val="sq-AL"/>
        </w:rPr>
        <w:t xml:space="preserve"> në afat, përveç rasteve kur debitori vërteton se nuk është përgjegjës për vonesën.</w:t>
      </w:r>
    </w:p>
    <w:p w14:paraId="437748C7" w14:textId="37495F35" w:rsidR="009D151E" w:rsidRPr="00826248" w:rsidRDefault="009D151E" w:rsidP="009D151E">
      <w:pPr>
        <w:pStyle w:val="NormalWeb"/>
        <w:numPr>
          <w:ilvl w:val="0"/>
          <w:numId w:val="1"/>
        </w:numPr>
        <w:spacing w:before="0" w:beforeAutospacing="0" w:after="0" w:afterAutospacing="0"/>
        <w:jc w:val="both"/>
        <w:rPr>
          <w:lang w:val="sq-AL"/>
        </w:rPr>
      </w:pPr>
      <w:r w:rsidRPr="00826248">
        <w:rPr>
          <w:lang w:val="sq-AL"/>
        </w:rPr>
        <w:t>Përjashtimisht nga rregullat e përgjithshme të ekzekutimit të detyrimeve të parashikuara në Kodin Civil, dispozitat e këtij ligji rregullojnë në mënyrë të posaçme afatet dhe lindjen e së drejtës së kamatëvonesës për transaksionet tregtare.</w:t>
      </w:r>
    </w:p>
    <w:p w14:paraId="1FE34B90" w14:textId="25B1182D" w:rsidR="009D151E" w:rsidRPr="00826248" w:rsidRDefault="009D151E" w:rsidP="009D151E">
      <w:pPr>
        <w:pStyle w:val="NormalWeb"/>
        <w:numPr>
          <w:ilvl w:val="0"/>
          <w:numId w:val="1"/>
        </w:numPr>
        <w:spacing w:before="0" w:beforeAutospacing="0" w:after="0" w:afterAutospacing="0"/>
        <w:jc w:val="both"/>
        <w:rPr>
          <w:lang w:val="sq-AL"/>
        </w:rPr>
      </w:pPr>
      <w:r w:rsidRPr="00826248">
        <w:rPr>
          <w:lang w:val="sq-AL"/>
        </w:rPr>
        <w:t xml:space="preserve">Kur kushtet e </w:t>
      </w:r>
      <w:r w:rsidR="007A4BFB" w:rsidRPr="00826248">
        <w:rPr>
          <w:lang w:val="sq-AL"/>
        </w:rPr>
        <w:t>pik</w:t>
      </w:r>
      <w:r w:rsidR="00411438" w:rsidRPr="00826248">
        <w:rPr>
          <w:lang w:val="sq-AL"/>
        </w:rPr>
        <w:t>ë</w:t>
      </w:r>
      <w:r w:rsidR="007A4BFB" w:rsidRPr="00826248">
        <w:rPr>
          <w:lang w:val="sq-AL"/>
        </w:rPr>
        <w:t>s</w:t>
      </w:r>
      <w:r w:rsidRPr="00826248">
        <w:rPr>
          <w:lang w:val="sq-AL"/>
        </w:rPr>
        <w:t xml:space="preserve"> 1</w:t>
      </w:r>
      <w:r w:rsidR="007A4BFB" w:rsidRPr="00826248">
        <w:rPr>
          <w:lang w:val="sq-AL"/>
        </w:rPr>
        <w:t>,</w:t>
      </w:r>
      <w:r w:rsidRPr="00826248">
        <w:rPr>
          <w:lang w:val="sq-AL"/>
        </w:rPr>
        <w:t xml:space="preserve"> të këtij neni janë përmbushur, kamatëvonesa llogaritet:</w:t>
      </w:r>
    </w:p>
    <w:p w14:paraId="52FF9F0F" w14:textId="77777777" w:rsidR="009D151E" w:rsidRPr="00826248" w:rsidRDefault="009D151E" w:rsidP="009D151E">
      <w:pPr>
        <w:pStyle w:val="NormalWeb"/>
        <w:spacing w:before="0" w:beforeAutospacing="0" w:after="0" w:afterAutospacing="0"/>
        <w:ind w:left="360"/>
        <w:jc w:val="both"/>
        <w:rPr>
          <w:lang w:val="sq-AL"/>
        </w:rPr>
      </w:pPr>
      <w:r w:rsidRPr="00826248">
        <w:rPr>
          <w:lang w:val="sq-AL"/>
        </w:rPr>
        <w:t xml:space="preserve">a) nga dita vijuese pas datës ose përfundimit të afatit të pagesës të përcaktuar në kontratë; </w:t>
      </w:r>
    </w:p>
    <w:p w14:paraId="3CDA7667" w14:textId="77777777" w:rsidR="009D151E" w:rsidRPr="00826248" w:rsidRDefault="009D151E" w:rsidP="009D151E">
      <w:pPr>
        <w:pStyle w:val="NormalWeb"/>
        <w:spacing w:before="0" w:beforeAutospacing="0" w:after="0" w:afterAutospacing="0"/>
        <w:ind w:left="630" w:hanging="270"/>
        <w:jc w:val="both"/>
        <w:rPr>
          <w:lang w:val="sq-AL"/>
        </w:rPr>
      </w:pPr>
      <w:r w:rsidRPr="00826248">
        <w:rPr>
          <w:lang w:val="sq-AL"/>
        </w:rPr>
        <w:t xml:space="preserve">b) nëse data ose afati i pagesës nuk është përcaktuar në kontratë, automatikisht me kalimin e: </w:t>
      </w:r>
    </w:p>
    <w:p w14:paraId="2FD42667" w14:textId="4FE26F73" w:rsidR="009D151E" w:rsidRPr="00826248" w:rsidRDefault="009D151E" w:rsidP="009D151E">
      <w:pPr>
        <w:pStyle w:val="NormalWeb"/>
        <w:spacing w:before="0" w:beforeAutospacing="0" w:after="0" w:afterAutospacing="0"/>
        <w:ind w:left="990" w:hanging="270"/>
        <w:jc w:val="both"/>
        <w:rPr>
          <w:lang w:val="sq-AL"/>
        </w:rPr>
      </w:pPr>
      <w:r w:rsidRPr="00826248">
        <w:rPr>
          <w:lang w:val="sq-AL"/>
        </w:rPr>
        <w:lastRenderedPageBreak/>
        <w:t xml:space="preserve">i) 30 ditëve kalendarike nga data e marrjes së faturës ose e një kërkese të njëvlershme për pagesë nga debitori; </w:t>
      </w:r>
    </w:p>
    <w:p w14:paraId="2DBF1D11" w14:textId="6DB5F234" w:rsidR="009D151E" w:rsidRPr="00826248" w:rsidRDefault="009D151E" w:rsidP="009D151E">
      <w:pPr>
        <w:pStyle w:val="NormalWeb"/>
        <w:spacing w:before="0" w:beforeAutospacing="0" w:after="0" w:afterAutospacing="0"/>
        <w:ind w:left="990" w:hanging="270"/>
        <w:jc w:val="both"/>
        <w:rPr>
          <w:lang w:val="sq-AL"/>
        </w:rPr>
      </w:pPr>
      <w:r w:rsidRPr="00826248">
        <w:rPr>
          <w:lang w:val="sq-AL"/>
        </w:rPr>
        <w:t xml:space="preserve">ii) 30 ditëve kalendarike nga data e marrjes </w:t>
      </w:r>
      <w:r w:rsidR="00D40101" w:rsidRPr="00826248">
        <w:rPr>
          <w:lang w:val="sq-AL"/>
        </w:rPr>
        <w:t>në dorëzim e</w:t>
      </w:r>
      <w:r w:rsidRPr="00826248">
        <w:rPr>
          <w:lang w:val="sq-AL"/>
        </w:rPr>
        <w:t xml:space="preserve"> mallrave </w:t>
      </w:r>
      <w:r w:rsidR="00D40101" w:rsidRPr="00826248">
        <w:rPr>
          <w:lang w:val="sq-AL"/>
        </w:rPr>
        <w:t>a</w:t>
      </w:r>
      <w:r w:rsidRPr="00826248">
        <w:rPr>
          <w:lang w:val="sq-AL"/>
        </w:rPr>
        <w:t xml:space="preserve"> shërbimeve, nëse data e marrjes së faturës është e pasigurt; </w:t>
      </w:r>
    </w:p>
    <w:p w14:paraId="5B40EC2A" w14:textId="3BDECADD" w:rsidR="009D151E" w:rsidRPr="00826248" w:rsidRDefault="009D151E" w:rsidP="009D151E">
      <w:pPr>
        <w:pStyle w:val="NormalWeb"/>
        <w:spacing w:before="0" w:beforeAutospacing="0" w:after="0" w:afterAutospacing="0"/>
        <w:ind w:left="990" w:hanging="270"/>
        <w:jc w:val="both"/>
        <w:rPr>
          <w:lang w:val="sq-AL"/>
        </w:rPr>
      </w:pPr>
      <w:r w:rsidRPr="00826248">
        <w:rPr>
          <w:lang w:val="sq-AL"/>
        </w:rPr>
        <w:t xml:space="preserve">iii) 30 ditëve kalendarike nga data e marrjes </w:t>
      </w:r>
      <w:r w:rsidR="00D40101" w:rsidRPr="00826248">
        <w:rPr>
          <w:lang w:val="sq-AL"/>
        </w:rPr>
        <w:t>në dorëzim e</w:t>
      </w:r>
      <w:r w:rsidRPr="00826248">
        <w:rPr>
          <w:lang w:val="sq-AL"/>
        </w:rPr>
        <w:t xml:space="preserve"> mallrave </w:t>
      </w:r>
      <w:r w:rsidR="00D40101" w:rsidRPr="00826248">
        <w:rPr>
          <w:lang w:val="sq-AL"/>
        </w:rPr>
        <w:t>a</w:t>
      </w:r>
      <w:r w:rsidRPr="00826248">
        <w:rPr>
          <w:lang w:val="sq-AL"/>
        </w:rPr>
        <w:t xml:space="preserve"> shërbimeve, nëse debitori e ka marrë faturën përpara marrjes </w:t>
      </w:r>
      <w:r w:rsidR="00D40101" w:rsidRPr="00826248">
        <w:rPr>
          <w:lang w:val="sq-AL"/>
        </w:rPr>
        <w:t>në dorëzim t</w:t>
      </w:r>
      <w:r w:rsidRPr="00826248">
        <w:rPr>
          <w:lang w:val="sq-AL"/>
        </w:rPr>
        <w:t xml:space="preserve">ë mallrave </w:t>
      </w:r>
      <w:r w:rsidR="00D40101" w:rsidRPr="00826248">
        <w:rPr>
          <w:lang w:val="sq-AL"/>
        </w:rPr>
        <w:t>a</w:t>
      </w:r>
      <w:r w:rsidRPr="00826248">
        <w:rPr>
          <w:lang w:val="sq-AL"/>
        </w:rPr>
        <w:t xml:space="preserve"> shërbimeve; </w:t>
      </w:r>
    </w:p>
    <w:p w14:paraId="522FD0AF" w14:textId="6DFA2F00" w:rsidR="009D151E" w:rsidRPr="00826248" w:rsidRDefault="009D151E" w:rsidP="009D151E">
      <w:pPr>
        <w:pStyle w:val="NormalWeb"/>
        <w:spacing w:before="0" w:beforeAutospacing="0" w:after="0" w:afterAutospacing="0"/>
        <w:ind w:left="990" w:hanging="270"/>
        <w:jc w:val="both"/>
        <w:rPr>
          <w:lang w:val="sq-AL"/>
        </w:rPr>
      </w:pPr>
      <w:r w:rsidRPr="00826248">
        <w:rPr>
          <w:lang w:val="sq-AL"/>
        </w:rPr>
        <w:t xml:space="preserve">iv) 30 ditëve kalendarike nga data e përfundimit të procedurës së </w:t>
      </w:r>
      <w:r w:rsidR="007A4BFB" w:rsidRPr="00826248">
        <w:rPr>
          <w:lang w:val="sq-AL"/>
        </w:rPr>
        <w:t>marrjes n</w:t>
      </w:r>
      <w:r w:rsidR="00411438" w:rsidRPr="00826248">
        <w:rPr>
          <w:lang w:val="sq-AL"/>
        </w:rPr>
        <w:t>ë</w:t>
      </w:r>
      <w:r w:rsidR="007A4BFB" w:rsidRPr="00826248">
        <w:rPr>
          <w:lang w:val="sq-AL"/>
        </w:rPr>
        <w:t xml:space="preserve"> dor</w:t>
      </w:r>
      <w:r w:rsidR="00411438" w:rsidRPr="00826248">
        <w:rPr>
          <w:lang w:val="sq-AL"/>
        </w:rPr>
        <w:t>ë</w:t>
      </w:r>
      <w:r w:rsidR="007A4BFB" w:rsidRPr="00826248">
        <w:rPr>
          <w:lang w:val="sq-AL"/>
        </w:rPr>
        <w:t>zim</w:t>
      </w:r>
      <w:r w:rsidRPr="00826248">
        <w:rPr>
          <w:lang w:val="sq-AL"/>
        </w:rPr>
        <w:t xml:space="preserve"> ose </w:t>
      </w:r>
      <w:r w:rsidR="007A4BFB" w:rsidRPr="00826248">
        <w:rPr>
          <w:lang w:val="sq-AL"/>
        </w:rPr>
        <w:t>t</w:t>
      </w:r>
      <w:r w:rsidR="00411438" w:rsidRPr="00826248">
        <w:rPr>
          <w:lang w:val="sq-AL"/>
        </w:rPr>
        <w:t>ë</w:t>
      </w:r>
      <w:r w:rsidR="007A4BFB" w:rsidRPr="00826248">
        <w:rPr>
          <w:lang w:val="sq-AL"/>
        </w:rPr>
        <w:t xml:space="preserve"> kolaudimit</w:t>
      </w:r>
      <w:r w:rsidRPr="00826248">
        <w:rPr>
          <w:lang w:val="sq-AL"/>
        </w:rPr>
        <w:t xml:space="preserve"> të mallrave a shërbimeve, nëse një procedurë e tillë është e parashikuar me ligj ose në kontratë, dhe faturën debitori e ka marrë përpara ose në datën e kryerjes së këtij verifikimi.</w:t>
      </w:r>
    </w:p>
    <w:p w14:paraId="0F65B3FA" w14:textId="487A29EF" w:rsidR="009D151E" w:rsidRPr="00826248" w:rsidRDefault="009D151E" w:rsidP="009D151E">
      <w:pPr>
        <w:pStyle w:val="NormalWeb"/>
        <w:numPr>
          <w:ilvl w:val="0"/>
          <w:numId w:val="1"/>
        </w:numPr>
        <w:spacing w:before="0" w:beforeAutospacing="0" w:after="0" w:afterAutospacing="0"/>
        <w:jc w:val="both"/>
        <w:rPr>
          <w:lang w:val="sq-AL"/>
        </w:rPr>
      </w:pPr>
      <w:r w:rsidRPr="00826248">
        <w:rPr>
          <w:lang w:val="sq-AL"/>
        </w:rPr>
        <w:t xml:space="preserve">Kohëzgjatja maksimale e procedurës </w:t>
      </w:r>
      <w:r w:rsidR="007A4BFB" w:rsidRPr="00826248">
        <w:rPr>
          <w:lang w:val="sq-AL"/>
        </w:rPr>
        <w:t>marrjes n</w:t>
      </w:r>
      <w:r w:rsidR="00411438" w:rsidRPr="00826248">
        <w:rPr>
          <w:lang w:val="sq-AL"/>
        </w:rPr>
        <w:t>ë</w:t>
      </w:r>
      <w:r w:rsidR="007A4BFB" w:rsidRPr="00826248">
        <w:rPr>
          <w:lang w:val="sq-AL"/>
        </w:rPr>
        <w:t xml:space="preserve"> dor</w:t>
      </w:r>
      <w:r w:rsidR="00411438" w:rsidRPr="00826248">
        <w:rPr>
          <w:lang w:val="sq-AL"/>
        </w:rPr>
        <w:t>ë</w:t>
      </w:r>
      <w:r w:rsidR="007A4BFB" w:rsidRPr="00826248">
        <w:rPr>
          <w:lang w:val="sq-AL"/>
        </w:rPr>
        <w:t>zim ose t</w:t>
      </w:r>
      <w:r w:rsidR="00411438" w:rsidRPr="00826248">
        <w:rPr>
          <w:lang w:val="sq-AL"/>
        </w:rPr>
        <w:t>ë</w:t>
      </w:r>
      <w:r w:rsidR="007A4BFB" w:rsidRPr="00826248">
        <w:rPr>
          <w:lang w:val="sq-AL"/>
        </w:rPr>
        <w:t xml:space="preserve"> kolaudimit </w:t>
      </w:r>
      <w:r w:rsidRPr="00826248">
        <w:rPr>
          <w:lang w:val="sq-AL"/>
        </w:rPr>
        <w:t xml:space="preserve">të mallrave </w:t>
      </w:r>
      <w:r w:rsidR="007A4BFB" w:rsidRPr="00826248">
        <w:rPr>
          <w:lang w:val="sq-AL"/>
        </w:rPr>
        <w:t>a</w:t>
      </w:r>
      <w:r w:rsidRPr="00826248">
        <w:rPr>
          <w:lang w:val="sq-AL"/>
        </w:rPr>
        <w:t xml:space="preserve"> shërbimeve nuk mund të kalojë 30 ditë kalendarike nga data e marrjes </w:t>
      </w:r>
      <w:r w:rsidR="007A4BFB" w:rsidRPr="00826248">
        <w:rPr>
          <w:lang w:val="sq-AL"/>
        </w:rPr>
        <w:t>n</w:t>
      </w:r>
      <w:r w:rsidR="00411438" w:rsidRPr="00826248">
        <w:rPr>
          <w:lang w:val="sq-AL"/>
        </w:rPr>
        <w:t>ë</w:t>
      </w:r>
      <w:r w:rsidR="007A4BFB" w:rsidRPr="00826248">
        <w:rPr>
          <w:lang w:val="sq-AL"/>
        </w:rPr>
        <w:t xml:space="preserve"> dor</w:t>
      </w:r>
      <w:r w:rsidR="00411438" w:rsidRPr="00826248">
        <w:rPr>
          <w:lang w:val="sq-AL"/>
        </w:rPr>
        <w:t>ë</w:t>
      </w:r>
      <w:r w:rsidR="007A4BFB" w:rsidRPr="00826248">
        <w:rPr>
          <w:lang w:val="sq-AL"/>
        </w:rPr>
        <w:t>zim t</w:t>
      </w:r>
      <w:r w:rsidRPr="00826248">
        <w:rPr>
          <w:lang w:val="sq-AL"/>
        </w:rPr>
        <w:t>ë mallrave ose shërbimeve, me përjashtim të rasteve kur palët kanë rënë dakord shprehimisht ndryshe në kontratë dhe kjo zgjatje nuk përbën një kusht të padrejtë kontraktual sipas nenit 10 të këtij ligji.</w:t>
      </w:r>
    </w:p>
    <w:p w14:paraId="4BB62E99" w14:textId="5BC144D4" w:rsidR="009D151E" w:rsidRPr="00826248" w:rsidRDefault="009D151E" w:rsidP="009D151E">
      <w:pPr>
        <w:pStyle w:val="NormalWeb"/>
        <w:numPr>
          <w:ilvl w:val="0"/>
          <w:numId w:val="1"/>
        </w:numPr>
        <w:spacing w:before="0" w:beforeAutospacing="0" w:after="0" w:afterAutospacing="0"/>
        <w:jc w:val="both"/>
        <w:rPr>
          <w:lang w:val="sq-AL"/>
        </w:rPr>
      </w:pPr>
      <w:r w:rsidRPr="00826248">
        <w:rPr>
          <w:lang w:val="sq-AL"/>
        </w:rPr>
        <w:t>Afati i pagesës i përcaktuar në kontratë ndërmjet sipërmarrjeve nuk mund të kalojë 60 ditë kalendarike, përveç rasteve kur në kontratë është rënë dakord shprehimisht ndryshe dhe me kusht që ky afat të mos jetë qartësisht i padrejtë ndaj kreditorit.</w:t>
      </w:r>
    </w:p>
    <w:p w14:paraId="208FA7F9" w14:textId="207A5C5F" w:rsidR="00FD488A" w:rsidRPr="00826248" w:rsidRDefault="00FD488A" w:rsidP="009D151E">
      <w:pPr>
        <w:spacing w:line="256" w:lineRule="auto"/>
        <w:ind w:left="360"/>
        <w:jc w:val="both"/>
        <w:rPr>
          <w:rFonts w:eastAsia="Calibri"/>
        </w:rPr>
      </w:pPr>
    </w:p>
    <w:p w14:paraId="0AFE2C9F" w14:textId="4752080F" w:rsidR="00411438" w:rsidRPr="00826248" w:rsidRDefault="00411438" w:rsidP="00411438">
      <w:pPr>
        <w:jc w:val="center"/>
        <w:rPr>
          <w:rFonts w:ascii="Times New Roman" w:hAnsi="Times New Roman" w:cs="Times New Roman"/>
          <w:b/>
          <w:bCs/>
        </w:rPr>
      </w:pPr>
      <w:r w:rsidRPr="00826248">
        <w:rPr>
          <w:rFonts w:ascii="Times New Roman" w:hAnsi="Times New Roman" w:cs="Times New Roman"/>
          <w:b/>
          <w:bCs/>
        </w:rPr>
        <w:t>Neni 3</w:t>
      </w:r>
    </w:p>
    <w:p w14:paraId="7F7A2C71" w14:textId="2A0BB774" w:rsidR="00411438" w:rsidRPr="00826248" w:rsidRDefault="00411438" w:rsidP="00832698">
      <w:pPr>
        <w:pStyle w:val="ListParagraph"/>
        <w:numPr>
          <w:ilvl w:val="0"/>
          <w:numId w:val="9"/>
        </w:numPr>
        <w:jc w:val="both"/>
        <w:rPr>
          <w:rFonts w:eastAsia="Calibri"/>
          <w:b/>
          <w:bCs/>
        </w:rPr>
      </w:pPr>
      <w:r w:rsidRPr="00826248">
        <w:rPr>
          <w:rFonts w:ascii="Times New Roman" w:hAnsi="Times New Roman" w:cs="Times New Roman"/>
        </w:rPr>
        <w:t>Titulli i Neni</w:t>
      </w:r>
      <w:r w:rsidR="00DD1C16" w:rsidRPr="00826248">
        <w:rPr>
          <w:rFonts w:ascii="Times New Roman" w:hAnsi="Times New Roman" w:cs="Times New Roman"/>
        </w:rPr>
        <w:t>t</w:t>
      </w:r>
      <w:r w:rsidRPr="00826248">
        <w:rPr>
          <w:rFonts w:ascii="Times New Roman" w:hAnsi="Times New Roman" w:cs="Times New Roman"/>
        </w:rPr>
        <w:t xml:space="preserve"> 7 ndryshon në “</w:t>
      </w:r>
      <w:r w:rsidR="00832698" w:rsidRPr="00826248">
        <w:rPr>
          <w:rFonts w:ascii="Times New Roman" w:eastAsia="Calibri" w:hAnsi="Times New Roman" w:cs="Times New Roman"/>
        </w:rPr>
        <w:t>Afatet e pagesës në transaksionet me autoritete</w:t>
      </w:r>
      <w:r w:rsidR="008C73CB" w:rsidRPr="00826248">
        <w:rPr>
          <w:rFonts w:ascii="Times New Roman" w:eastAsia="Calibri" w:hAnsi="Times New Roman" w:cs="Times New Roman"/>
        </w:rPr>
        <w:t>t</w:t>
      </w:r>
      <w:r w:rsidR="00832698" w:rsidRPr="00826248">
        <w:rPr>
          <w:rFonts w:ascii="Times New Roman" w:eastAsia="Calibri" w:hAnsi="Times New Roman" w:cs="Times New Roman"/>
        </w:rPr>
        <w:t xml:space="preserve"> publike</w:t>
      </w:r>
      <w:r w:rsidRPr="00826248">
        <w:rPr>
          <w:rFonts w:ascii="Times New Roman" w:hAnsi="Times New Roman" w:cs="Times New Roman"/>
        </w:rPr>
        <w:t>”.</w:t>
      </w:r>
    </w:p>
    <w:p w14:paraId="3D679F1C" w14:textId="77777777" w:rsidR="00832698" w:rsidRPr="00826248" w:rsidRDefault="00832698" w:rsidP="00832698">
      <w:pPr>
        <w:pStyle w:val="ListParagraph"/>
        <w:jc w:val="both"/>
        <w:rPr>
          <w:rFonts w:eastAsia="Calibri"/>
          <w:b/>
          <w:bCs/>
        </w:rPr>
      </w:pPr>
    </w:p>
    <w:p w14:paraId="01ED6467" w14:textId="61E16643" w:rsidR="00411438" w:rsidRPr="00826248" w:rsidRDefault="00411438" w:rsidP="00832698">
      <w:pPr>
        <w:pStyle w:val="ListParagraph"/>
        <w:numPr>
          <w:ilvl w:val="0"/>
          <w:numId w:val="9"/>
        </w:numPr>
        <w:jc w:val="both"/>
        <w:rPr>
          <w:rFonts w:ascii="Times New Roman" w:hAnsi="Times New Roman" w:cs="Times New Roman"/>
        </w:rPr>
      </w:pPr>
      <w:r w:rsidRPr="00826248">
        <w:rPr>
          <w:rFonts w:ascii="Times New Roman" w:hAnsi="Times New Roman" w:cs="Times New Roman"/>
        </w:rPr>
        <w:t xml:space="preserve">Neni </w:t>
      </w:r>
      <w:r w:rsidR="00DD1C16" w:rsidRPr="00826248">
        <w:rPr>
          <w:rFonts w:ascii="Times New Roman" w:hAnsi="Times New Roman" w:cs="Times New Roman"/>
        </w:rPr>
        <w:t>7</w:t>
      </w:r>
      <w:r w:rsidRPr="00826248">
        <w:rPr>
          <w:rFonts w:ascii="Times New Roman" w:hAnsi="Times New Roman" w:cs="Times New Roman"/>
        </w:rPr>
        <w:t xml:space="preserve"> ndryshon me përmbajtjen si vijon:</w:t>
      </w:r>
    </w:p>
    <w:p w14:paraId="2A1D8329" w14:textId="77777777" w:rsidR="00B4270C" w:rsidRPr="00826248" w:rsidRDefault="00B4270C" w:rsidP="00127CDC">
      <w:pPr>
        <w:jc w:val="center"/>
        <w:rPr>
          <w:rFonts w:eastAsia="Calibri"/>
          <w:b/>
          <w:bCs/>
        </w:rPr>
      </w:pPr>
      <w:r w:rsidRPr="00826248">
        <w:rPr>
          <w:rFonts w:ascii="Times New Roman" w:eastAsia="Calibri" w:hAnsi="Times New Roman" w:cs="Times New Roman"/>
          <w:b/>
          <w:bCs/>
        </w:rPr>
        <w:t xml:space="preserve">Neni 7 </w:t>
      </w:r>
    </w:p>
    <w:p w14:paraId="147EAB12" w14:textId="786DDEDD" w:rsidR="00B4270C" w:rsidRPr="00826248" w:rsidRDefault="00B4270C" w:rsidP="00127CDC">
      <w:pPr>
        <w:jc w:val="center"/>
        <w:rPr>
          <w:rFonts w:eastAsia="Calibri"/>
          <w:b/>
          <w:bCs/>
        </w:rPr>
      </w:pPr>
      <w:r w:rsidRPr="00826248">
        <w:rPr>
          <w:rFonts w:ascii="Times New Roman" w:eastAsia="Calibri" w:hAnsi="Times New Roman" w:cs="Times New Roman"/>
          <w:b/>
          <w:bCs/>
        </w:rPr>
        <w:t>Afatet e pagesës në transaksionet me autoritete</w:t>
      </w:r>
      <w:r w:rsidR="008C73CB" w:rsidRPr="00826248">
        <w:rPr>
          <w:rFonts w:ascii="Times New Roman" w:eastAsia="Calibri" w:hAnsi="Times New Roman" w:cs="Times New Roman"/>
          <w:b/>
          <w:bCs/>
        </w:rPr>
        <w:t>t</w:t>
      </w:r>
      <w:r w:rsidRPr="00826248">
        <w:rPr>
          <w:rFonts w:ascii="Times New Roman" w:eastAsia="Calibri" w:hAnsi="Times New Roman" w:cs="Times New Roman"/>
          <w:b/>
          <w:bCs/>
        </w:rPr>
        <w:t xml:space="preserve"> publike</w:t>
      </w:r>
    </w:p>
    <w:p w14:paraId="6CE835C2" w14:textId="77777777" w:rsidR="00127CDC" w:rsidRPr="00826248" w:rsidRDefault="00127CDC" w:rsidP="00127CDC">
      <w:pPr>
        <w:numPr>
          <w:ilvl w:val="0"/>
          <w:numId w:val="7"/>
        </w:numPr>
        <w:spacing w:after="0" w:line="240" w:lineRule="auto"/>
        <w:jc w:val="both"/>
        <w:rPr>
          <w:rFonts w:ascii="Times New Roman" w:eastAsia="Calibri" w:hAnsi="Times New Roman" w:cs="Times New Roman"/>
        </w:rPr>
      </w:pPr>
      <w:r w:rsidRPr="00826248">
        <w:rPr>
          <w:rFonts w:ascii="Times New Roman" w:eastAsia="Calibri" w:hAnsi="Times New Roman" w:cs="Times New Roman"/>
        </w:rPr>
        <w:t xml:space="preserve">Në transaksionet tregtare ku debitori është një autoritet publik, kreditori ka të drejtë të marrë kamatëvonesë ligjore pa qenë e nevojshme dërgimi i një njoftimi, kur janë përmbushur kushtet e mëposhtme: </w:t>
      </w:r>
    </w:p>
    <w:p w14:paraId="325AA54F" w14:textId="77777777" w:rsidR="00127CDC" w:rsidRPr="00826248" w:rsidRDefault="00127CDC" w:rsidP="00127CDC">
      <w:pPr>
        <w:spacing w:after="0" w:line="240" w:lineRule="auto"/>
        <w:ind w:left="990"/>
        <w:jc w:val="both"/>
        <w:rPr>
          <w:rFonts w:ascii="Times New Roman" w:eastAsia="Calibri" w:hAnsi="Times New Roman" w:cs="Times New Roman"/>
        </w:rPr>
      </w:pPr>
      <w:r w:rsidRPr="00826248">
        <w:rPr>
          <w:rFonts w:ascii="Times New Roman" w:eastAsia="Calibri" w:hAnsi="Times New Roman" w:cs="Times New Roman"/>
        </w:rPr>
        <w:t>a) kreditori ka përmbushur detyrimet e tij ligjore dhe kontraktore;</w:t>
      </w:r>
    </w:p>
    <w:p w14:paraId="2853A2AE" w14:textId="5A8483CA" w:rsidR="00127CDC" w:rsidRPr="00826248" w:rsidRDefault="00127CDC" w:rsidP="00127CDC">
      <w:pPr>
        <w:spacing w:after="0" w:line="240" w:lineRule="auto"/>
        <w:ind w:left="990"/>
        <w:jc w:val="both"/>
        <w:rPr>
          <w:rFonts w:ascii="Times New Roman" w:eastAsia="Calibri" w:hAnsi="Times New Roman" w:cs="Times New Roman"/>
        </w:rPr>
      </w:pPr>
      <w:r w:rsidRPr="00826248">
        <w:rPr>
          <w:rFonts w:ascii="Times New Roman" w:eastAsia="Calibri" w:hAnsi="Times New Roman" w:cs="Times New Roman"/>
        </w:rPr>
        <w:t>b) kreditori nuk ka marrë shumën e detyrimit në kohë, përveç rasteve kur debitori vërteton se vonesa nuk ka ardhur për shkak të rrethanave që nuk varen prej tij.</w:t>
      </w:r>
    </w:p>
    <w:p w14:paraId="45D68323" w14:textId="77777777" w:rsidR="00127CDC" w:rsidRPr="00826248" w:rsidRDefault="00127CDC" w:rsidP="00127CDC">
      <w:pPr>
        <w:numPr>
          <w:ilvl w:val="0"/>
          <w:numId w:val="7"/>
        </w:numPr>
        <w:spacing w:after="0" w:line="240" w:lineRule="auto"/>
        <w:jc w:val="both"/>
        <w:rPr>
          <w:rFonts w:ascii="Times New Roman" w:eastAsia="Calibri" w:hAnsi="Times New Roman" w:cs="Times New Roman"/>
        </w:rPr>
      </w:pPr>
      <w:r w:rsidRPr="00826248">
        <w:rPr>
          <w:rFonts w:ascii="Times New Roman" w:eastAsia="Calibri" w:hAnsi="Times New Roman" w:cs="Times New Roman"/>
        </w:rPr>
        <w:t>Kur afati i pagesës nuk është përcaktuar në kontratë, kamatëvonesa fillon të llogaritet automatikisht pas kalimit të afatit prej 30 ditësh kalendarike nga:</w:t>
      </w:r>
    </w:p>
    <w:p w14:paraId="11714BDF" w14:textId="4278770A" w:rsidR="00127CDC" w:rsidRPr="00826248" w:rsidRDefault="00127CDC" w:rsidP="00127CDC">
      <w:pPr>
        <w:pStyle w:val="ListParagraph"/>
        <w:numPr>
          <w:ilvl w:val="1"/>
          <w:numId w:val="7"/>
        </w:numPr>
        <w:tabs>
          <w:tab w:val="left" w:pos="1440"/>
        </w:tabs>
        <w:spacing w:after="0" w:line="240" w:lineRule="auto"/>
        <w:ind w:left="1440" w:hanging="450"/>
        <w:jc w:val="both"/>
        <w:rPr>
          <w:rFonts w:eastAsia="Calibri"/>
        </w:rPr>
      </w:pPr>
      <w:r w:rsidRPr="00826248">
        <w:rPr>
          <w:rFonts w:ascii="Times New Roman" w:eastAsia="Calibri" w:hAnsi="Times New Roman" w:cs="Times New Roman"/>
        </w:rPr>
        <w:t>data e marrjes prej debitorit të faturës ose të një kërkesëpagese të njëvlershme;</w:t>
      </w:r>
    </w:p>
    <w:p w14:paraId="5FD2E421" w14:textId="3002F0CD" w:rsidR="00127CDC" w:rsidRPr="00826248" w:rsidRDefault="00127CDC" w:rsidP="00127CDC">
      <w:pPr>
        <w:pStyle w:val="ListParagraph"/>
        <w:numPr>
          <w:ilvl w:val="1"/>
          <w:numId w:val="7"/>
        </w:numPr>
        <w:tabs>
          <w:tab w:val="left" w:pos="1440"/>
        </w:tabs>
        <w:spacing w:after="0" w:line="240" w:lineRule="auto"/>
        <w:ind w:left="1440" w:hanging="450"/>
        <w:jc w:val="both"/>
        <w:rPr>
          <w:rFonts w:ascii="Times New Roman" w:eastAsia="Calibri" w:hAnsi="Times New Roman" w:cs="Times New Roman"/>
        </w:rPr>
      </w:pPr>
      <w:r w:rsidRPr="00826248">
        <w:rPr>
          <w:rFonts w:ascii="Times New Roman" w:eastAsia="Calibri" w:hAnsi="Times New Roman" w:cs="Times New Roman"/>
        </w:rPr>
        <w:t>data e marrjes n</w:t>
      </w:r>
      <w:r w:rsidR="00F401F8" w:rsidRPr="00826248">
        <w:rPr>
          <w:rFonts w:ascii="Times New Roman" w:eastAsia="Calibri" w:hAnsi="Times New Roman" w:cs="Times New Roman"/>
        </w:rPr>
        <w:t>ë</w:t>
      </w:r>
      <w:r w:rsidRPr="00826248">
        <w:rPr>
          <w:rFonts w:ascii="Times New Roman" w:eastAsia="Calibri" w:hAnsi="Times New Roman" w:cs="Times New Roman"/>
        </w:rPr>
        <w:t xml:space="preserve"> dor</w:t>
      </w:r>
      <w:r w:rsidR="00F401F8" w:rsidRPr="00826248">
        <w:rPr>
          <w:rFonts w:ascii="Times New Roman" w:eastAsia="Calibri" w:hAnsi="Times New Roman" w:cs="Times New Roman"/>
        </w:rPr>
        <w:t>ë</w:t>
      </w:r>
      <w:r w:rsidRPr="00826248">
        <w:rPr>
          <w:rFonts w:ascii="Times New Roman" w:eastAsia="Calibri" w:hAnsi="Times New Roman" w:cs="Times New Roman"/>
        </w:rPr>
        <w:t>zim të mallrave a shërbimeve, kur data e marrjes së faturës është e pasigurt, ose kur debitori e merr faturën përpara mallrave ose shërbimeve;</w:t>
      </w:r>
    </w:p>
    <w:p w14:paraId="2B94BF8F" w14:textId="478ED9C8" w:rsidR="00127CDC" w:rsidRPr="00826248" w:rsidRDefault="00127CDC" w:rsidP="00127CDC">
      <w:pPr>
        <w:pStyle w:val="ListParagraph"/>
        <w:numPr>
          <w:ilvl w:val="1"/>
          <w:numId w:val="7"/>
        </w:numPr>
        <w:tabs>
          <w:tab w:val="left" w:pos="1440"/>
        </w:tabs>
        <w:spacing w:after="0" w:line="240" w:lineRule="auto"/>
        <w:ind w:left="1440" w:hanging="450"/>
        <w:jc w:val="both"/>
        <w:rPr>
          <w:rFonts w:ascii="Times New Roman" w:eastAsia="Calibri" w:hAnsi="Times New Roman" w:cs="Times New Roman"/>
        </w:rPr>
      </w:pPr>
      <w:r w:rsidRPr="00826248">
        <w:rPr>
          <w:rFonts w:ascii="Times New Roman" w:eastAsia="Calibri" w:hAnsi="Times New Roman" w:cs="Times New Roman"/>
        </w:rPr>
        <w:t>data e përfundimit të procedurës së dor</w:t>
      </w:r>
      <w:r w:rsidR="00F401F8" w:rsidRPr="00826248">
        <w:rPr>
          <w:rFonts w:ascii="Times New Roman" w:eastAsia="Calibri" w:hAnsi="Times New Roman" w:cs="Times New Roman"/>
        </w:rPr>
        <w:t>ë</w:t>
      </w:r>
      <w:r w:rsidRPr="00826248">
        <w:rPr>
          <w:rFonts w:ascii="Times New Roman" w:eastAsia="Calibri" w:hAnsi="Times New Roman" w:cs="Times New Roman"/>
        </w:rPr>
        <w:t>zimit ose të kolaudimit, nëse kjo procedurë parashikohet me ligj ose në kontratë, dhe debitori e ka marrë faturën përpara ose në datën kur kryhet ky dor</w:t>
      </w:r>
      <w:r w:rsidR="00F401F8" w:rsidRPr="00826248">
        <w:rPr>
          <w:rFonts w:ascii="Times New Roman" w:eastAsia="Calibri" w:hAnsi="Times New Roman" w:cs="Times New Roman"/>
        </w:rPr>
        <w:t>ë</w:t>
      </w:r>
      <w:r w:rsidRPr="00826248">
        <w:rPr>
          <w:rFonts w:ascii="Times New Roman" w:eastAsia="Calibri" w:hAnsi="Times New Roman" w:cs="Times New Roman"/>
        </w:rPr>
        <w:t>zim ose kolaudim.</w:t>
      </w:r>
    </w:p>
    <w:p w14:paraId="04859C55" w14:textId="4C04ADB2" w:rsidR="00127CDC" w:rsidRPr="00826248" w:rsidRDefault="00127CDC" w:rsidP="00127CDC">
      <w:pPr>
        <w:numPr>
          <w:ilvl w:val="0"/>
          <w:numId w:val="7"/>
        </w:numPr>
        <w:spacing w:after="0" w:line="240" w:lineRule="auto"/>
        <w:jc w:val="both"/>
        <w:rPr>
          <w:rFonts w:ascii="Times New Roman" w:eastAsia="Calibri" w:hAnsi="Times New Roman" w:cs="Times New Roman"/>
        </w:rPr>
      </w:pPr>
      <w:r w:rsidRPr="00826248">
        <w:rPr>
          <w:rFonts w:ascii="Times New Roman" w:eastAsia="Calibri" w:hAnsi="Times New Roman" w:cs="Times New Roman"/>
        </w:rPr>
        <w:t>Afati i pagesës i përcaktuar në kontratë nuk mund të kalojë 30 ditë kalendarike. Ky afat mund të zgjatet deri në një maksimum prej 60 ditë kalendarike vetëm nëse është rënë dakord shprehimisht në kontratë dhe kjo zgjatje justifikohet objektivisht nga natyra apo veçoritë e veçanta të kontratës.</w:t>
      </w:r>
    </w:p>
    <w:p w14:paraId="14CB1204" w14:textId="289F679D" w:rsidR="00127CDC" w:rsidRPr="00826248" w:rsidRDefault="00127CDC" w:rsidP="00127CDC">
      <w:pPr>
        <w:numPr>
          <w:ilvl w:val="0"/>
          <w:numId w:val="7"/>
        </w:numPr>
        <w:spacing w:after="0" w:line="240" w:lineRule="auto"/>
        <w:jc w:val="both"/>
        <w:rPr>
          <w:rFonts w:ascii="Times New Roman" w:eastAsia="Calibri" w:hAnsi="Times New Roman" w:cs="Times New Roman"/>
        </w:rPr>
      </w:pPr>
      <w:r w:rsidRPr="00826248">
        <w:rPr>
          <w:rFonts w:ascii="Times New Roman" w:eastAsia="Calibri" w:hAnsi="Times New Roman" w:cs="Times New Roman"/>
        </w:rPr>
        <w:lastRenderedPageBreak/>
        <w:t xml:space="preserve">Kur ligji ose kontrata parashikon një procedurë dorëzimi apo kolaudimi për verifikimin e konformitetit të mallrave </w:t>
      </w:r>
      <w:r w:rsidR="00D40101" w:rsidRPr="00826248">
        <w:rPr>
          <w:rFonts w:ascii="Times New Roman" w:eastAsia="Calibri" w:hAnsi="Times New Roman" w:cs="Times New Roman"/>
        </w:rPr>
        <w:t>a</w:t>
      </w:r>
      <w:r w:rsidRPr="00826248">
        <w:rPr>
          <w:rFonts w:ascii="Times New Roman" w:eastAsia="Calibri" w:hAnsi="Times New Roman" w:cs="Times New Roman"/>
        </w:rPr>
        <w:t xml:space="preserve"> shërbimeve, kohëzgjatja e kësaj procedure nuk mund të kalojë 30 ditë kalendarike nga data e marrjes së mallrave ose shërbimeve. Çdo kusht kontraktor ose dokument tenderi që parashikon një afat më të gjatë është i pavlefshëm.</w:t>
      </w:r>
    </w:p>
    <w:p w14:paraId="4D7EF294" w14:textId="77777777" w:rsidR="00127CDC" w:rsidRPr="00826248" w:rsidRDefault="00127CDC" w:rsidP="00127CDC">
      <w:pPr>
        <w:numPr>
          <w:ilvl w:val="0"/>
          <w:numId w:val="7"/>
        </w:numPr>
        <w:spacing w:after="0" w:line="240" w:lineRule="auto"/>
        <w:jc w:val="both"/>
        <w:rPr>
          <w:rFonts w:ascii="Times New Roman" w:eastAsia="Calibri" w:hAnsi="Times New Roman" w:cs="Times New Roman"/>
        </w:rPr>
      </w:pPr>
      <w:r w:rsidRPr="00826248">
        <w:rPr>
          <w:rFonts w:ascii="Times New Roman" w:eastAsia="Calibri" w:hAnsi="Times New Roman" w:cs="Times New Roman"/>
        </w:rPr>
        <w:t>Data e marrjes së faturës nuk mund të jetë subjekt i një marrëveshjeje kontraktuale midis debitorit dhe kreditorit. Çdo kusht kontraktor që synon shtyrjen e datës së marrjes së faturës është i pavlefshëm.</w:t>
      </w:r>
    </w:p>
    <w:p w14:paraId="1A2CEA6A" w14:textId="00C8AD9F" w:rsidR="00127CDC" w:rsidRPr="00826248" w:rsidRDefault="00127CDC" w:rsidP="00127CDC">
      <w:pPr>
        <w:numPr>
          <w:ilvl w:val="0"/>
          <w:numId w:val="7"/>
        </w:numPr>
        <w:spacing w:after="0" w:line="240" w:lineRule="auto"/>
        <w:jc w:val="both"/>
        <w:rPr>
          <w:rFonts w:ascii="Times New Roman" w:eastAsia="Calibri" w:hAnsi="Times New Roman" w:cs="Times New Roman"/>
        </w:rPr>
      </w:pPr>
      <w:r w:rsidRPr="00826248">
        <w:rPr>
          <w:rFonts w:ascii="Times New Roman" w:eastAsia="Calibri" w:hAnsi="Times New Roman" w:cs="Times New Roman"/>
        </w:rPr>
        <w:t xml:space="preserve">Kamatëvonesa llogaritet automatikisht nga dita </w:t>
      </w:r>
      <w:r w:rsidR="00D40101" w:rsidRPr="00826248">
        <w:rPr>
          <w:rFonts w:ascii="Times New Roman" w:eastAsia="Calibri" w:hAnsi="Times New Roman" w:cs="Times New Roman"/>
        </w:rPr>
        <w:t>e nesërme</w:t>
      </w:r>
      <w:r w:rsidRPr="00826248">
        <w:rPr>
          <w:rFonts w:ascii="Times New Roman" w:eastAsia="Calibri" w:hAnsi="Times New Roman" w:cs="Times New Roman"/>
        </w:rPr>
        <w:t xml:space="preserve"> e përfundimit të afateve të përcaktuara në këtë nen, pa qenë nevoja për njoftim formal apo kërkesë vënieje në vonesë sipas rregullave të përgjithshme të Kodit Civil.</w:t>
      </w:r>
    </w:p>
    <w:p w14:paraId="0CC4B693" w14:textId="77777777" w:rsidR="00127CDC" w:rsidRPr="00826248" w:rsidRDefault="00127CDC" w:rsidP="00127CDC">
      <w:pPr>
        <w:ind w:firstLine="720"/>
        <w:rPr>
          <w:rFonts w:eastAsia="Calibri"/>
        </w:rPr>
      </w:pPr>
    </w:p>
    <w:p w14:paraId="21230E1D" w14:textId="55F7FBED" w:rsidR="00F401F8" w:rsidRPr="00826248" w:rsidRDefault="00F401F8" w:rsidP="00F401F8">
      <w:pPr>
        <w:ind w:firstLine="720"/>
        <w:jc w:val="center"/>
        <w:rPr>
          <w:rFonts w:eastAsia="Calibri"/>
          <w:b/>
          <w:bCs/>
        </w:rPr>
      </w:pPr>
      <w:r w:rsidRPr="00826248">
        <w:rPr>
          <w:rFonts w:ascii="Times New Roman" w:eastAsia="Calibri" w:hAnsi="Times New Roman" w:cs="Times New Roman"/>
          <w:b/>
          <w:bCs/>
        </w:rPr>
        <w:t>Neni 4</w:t>
      </w:r>
    </w:p>
    <w:p w14:paraId="22A58ABD" w14:textId="6D651383" w:rsidR="00061B31" w:rsidRPr="00826248" w:rsidRDefault="00061B31" w:rsidP="00F401F8">
      <w:pPr>
        <w:pStyle w:val="ListParagraph"/>
        <w:numPr>
          <w:ilvl w:val="0"/>
          <w:numId w:val="8"/>
        </w:numPr>
        <w:jc w:val="both"/>
        <w:rPr>
          <w:rFonts w:ascii="Times New Roman" w:eastAsia="Calibri" w:hAnsi="Times New Roman" w:cs="Times New Roman"/>
        </w:rPr>
      </w:pPr>
      <w:r w:rsidRPr="00826248">
        <w:rPr>
          <w:rFonts w:ascii="Times New Roman" w:eastAsia="Calibri" w:hAnsi="Times New Roman" w:cs="Times New Roman"/>
        </w:rPr>
        <w:t>Titulli i Nenit 10 riformulohet në “Afatet e marrjes në dorëzim të mallrave mes ndërmjet sipërmarrjeve”.</w:t>
      </w:r>
    </w:p>
    <w:p w14:paraId="0CE2FD79" w14:textId="516588ED" w:rsidR="008D0FF6" w:rsidRPr="009A7EA0" w:rsidRDefault="00F401F8" w:rsidP="008D0FF6">
      <w:pPr>
        <w:pStyle w:val="ListParagraph"/>
        <w:numPr>
          <w:ilvl w:val="0"/>
          <w:numId w:val="8"/>
        </w:numPr>
        <w:jc w:val="both"/>
        <w:rPr>
          <w:rFonts w:ascii="Times New Roman" w:eastAsia="Calibri" w:hAnsi="Times New Roman" w:cs="Times New Roman"/>
        </w:rPr>
      </w:pPr>
      <w:r w:rsidRPr="00826248">
        <w:rPr>
          <w:rFonts w:ascii="Times New Roman" w:eastAsia="Calibri" w:hAnsi="Times New Roman" w:cs="Times New Roman"/>
        </w:rPr>
        <w:t>N</w:t>
      </w:r>
      <w:r w:rsidR="008D0FF6" w:rsidRPr="00826248">
        <w:rPr>
          <w:rFonts w:ascii="Times New Roman" w:eastAsia="Calibri" w:hAnsi="Times New Roman" w:cs="Times New Roman"/>
        </w:rPr>
        <w:t>ë</w:t>
      </w:r>
      <w:r w:rsidRPr="00826248">
        <w:rPr>
          <w:rFonts w:ascii="Times New Roman" w:eastAsia="Calibri" w:hAnsi="Times New Roman" w:cs="Times New Roman"/>
        </w:rPr>
        <w:t xml:space="preserve"> paragrafin</w:t>
      </w:r>
      <w:r w:rsidR="00496485" w:rsidRPr="00826248">
        <w:rPr>
          <w:rFonts w:ascii="Times New Roman" w:eastAsia="Calibri" w:hAnsi="Times New Roman" w:cs="Times New Roman"/>
        </w:rPr>
        <w:t>,</w:t>
      </w:r>
      <w:r w:rsidRPr="00826248">
        <w:rPr>
          <w:rFonts w:ascii="Times New Roman" w:eastAsia="Calibri" w:hAnsi="Times New Roman" w:cs="Times New Roman"/>
        </w:rPr>
        <w:t xml:space="preserve"> 1 t</w:t>
      </w:r>
      <w:r w:rsidR="008D0FF6" w:rsidRPr="00826248">
        <w:rPr>
          <w:rFonts w:ascii="Times New Roman" w:eastAsia="Calibri" w:hAnsi="Times New Roman" w:cs="Times New Roman"/>
        </w:rPr>
        <w:t>ë</w:t>
      </w:r>
      <w:r w:rsidRPr="00826248">
        <w:rPr>
          <w:rFonts w:ascii="Times New Roman" w:eastAsia="Calibri" w:hAnsi="Times New Roman" w:cs="Times New Roman"/>
        </w:rPr>
        <w:t xml:space="preserve"> nenit 10, togfjal</w:t>
      </w:r>
      <w:r w:rsidR="008D0FF6" w:rsidRPr="00826248">
        <w:rPr>
          <w:rFonts w:ascii="Times New Roman" w:eastAsia="Calibri" w:hAnsi="Times New Roman" w:cs="Times New Roman"/>
        </w:rPr>
        <w:t>ë</w:t>
      </w:r>
      <w:r w:rsidRPr="00826248">
        <w:rPr>
          <w:rFonts w:ascii="Times New Roman" w:eastAsia="Calibri" w:hAnsi="Times New Roman" w:cs="Times New Roman"/>
        </w:rPr>
        <w:t>shi “</w:t>
      </w:r>
      <w:r w:rsidRPr="00826248">
        <w:rPr>
          <w:rFonts w:ascii="Times New Roman" w:eastAsia="Calibri" w:hAnsi="Times New Roman" w:cs="Times New Roman"/>
          <w:i/>
          <w:iCs/>
        </w:rPr>
        <w:t>nga e nes</w:t>
      </w:r>
      <w:r w:rsidR="008D0FF6" w:rsidRPr="00826248">
        <w:rPr>
          <w:rFonts w:ascii="Times New Roman" w:eastAsia="Calibri" w:hAnsi="Times New Roman" w:cs="Times New Roman"/>
          <w:i/>
          <w:iCs/>
        </w:rPr>
        <w:t>ë</w:t>
      </w:r>
      <w:r w:rsidRPr="00826248">
        <w:rPr>
          <w:rFonts w:ascii="Times New Roman" w:eastAsia="Calibri" w:hAnsi="Times New Roman" w:cs="Times New Roman"/>
          <w:i/>
          <w:iCs/>
        </w:rPr>
        <w:t>rmja e mb</w:t>
      </w:r>
      <w:r w:rsidR="008D0FF6" w:rsidRPr="00826248">
        <w:rPr>
          <w:rFonts w:ascii="Times New Roman" w:eastAsia="Calibri" w:hAnsi="Times New Roman" w:cs="Times New Roman"/>
          <w:i/>
          <w:iCs/>
        </w:rPr>
        <w:t>ë</w:t>
      </w:r>
      <w:r w:rsidRPr="00826248">
        <w:rPr>
          <w:rFonts w:ascii="Times New Roman" w:eastAsia="Calibri" w:hAnsi="Times New Roman" w:cs="Times New Roman"/>
          <w:i/>
          <w:iCs/>
        </w:rPr>
        <w:t>rritjes s</w:t>
      </w:r>
      <w:r w:rsidR="008D0FF6" w:rsidRPr="00826248">
        <w:rPr>
          <w:rFonts w:ascii="Times New Roman" w:eastAsia="Calibri" w:hAnsi="Times New Roman" w:cs="Times New Roman"/>
          <w:i/>
          <w:iCs/>
        </w:rPr>
        <w:t>ë</w:t>
      </w:r>
      <w:r w:rsidRPr="00826248">
        <w:rPr>
          <w:rFonts w:ascii="Times New Roman" w:eastAsia="Calibri" w:hAnsi="Times New Roman" w:cs="Times New Roman"/>
          <w:i/>
          <w:iCs/>
        </w:rPr>
        <w:t xml:space="preserve"> mallit n</w:t>
      </w:r>
      <w:r w:rsidR="008D0FF6" w:rsidRPr="00826248">
        <w:rPr>
          <w:rFonts w:ascii="Times New Roman" w:eastAsia="Calibri" w:hAnsi="Times New Roman" w:cs="Times New Roman"/>
          <w:i/>
          <w:iCs/>
        </w:rPr>
        <w:t>ë</w:t>
      </w:r>
      <w:r w:rsidRPr="00826248">
        <w:rPr>
          <w:rFonts w:ascii="Times New Roman" w:eastAsia="Calibri" w:hAnsi="Times New Roman" w:cs="Times New Roman"/>
          <w:i/>
          <w:iCs/>
        </w:rPr>
        <w:t xml:space="preserve"> destinacionin e p</w:t>
      </w:r>
      <w:r w:rsidR="008D0FF6" w:rsidRPr="00826248">
        <w:rPr>
          <w:rFonts w:ascii="Times New Roman" w:eastAsia="Calibri" w:hAnsi="Times New Roman" w:cs="Times New Roman"/>
          <w:i/>
          <w:iCs/>
        </w:rPr>
        <w:t>ë</w:t>
      </w:r>
      <w:r w:rsidRPr="00826248">
        <w:rPr>
          <w:rFonts w:ascii="Times New Roman" w:eastAsia="Calibri" w:hAnsi="Times New Roman" w:cs="Times New Roman"/>
          <w:i/>
          <w:iCs/>
        </w:rPr>
        <w:t>rcaktuar</w:t>
      </w:r>
      <w:r w:rsidRPr="00826248">
        <w:rPr>
          <w:rFonts w:ascii="Times New Roman" w:eastAsia="Calibri" w:hAnsi="Times New Roman" w:cs="Times New Roman"/>
        </w:rPr>
        <w:t>” z</w:t>
      </w:r>
      <w:r w:rsidR="008D0FF6" w:rsidRPr="00826248">
        <w:rPr>
          <w:rFonts w:ascii="Times New Roman" w:eastAsia="Calibri" w:hAnsi="Times New Roman" w:cs="Times New Roman"/>
        </w:rPr>
        <w:t>ë</w:t>
      </w:r>
      <w:r w:rsidRPr="00826248">
        <w:rPr>
          <w:rFonts w:ascii="Times New Roman" w:eastAsia="Calibri" w:hAnsi="Times New Roman" w:cs="Times New Roman"/>
        </w:rPr>
        <w:t>vend</w:t>
      </w:r>
      <w:r w:rsidR="008D0FF6" w:rsidRPr="00826248">
        <w:rPr>
          <w:rFonts w:ascii="Times New Roman" w:eastAsia="Calibri" w:hAnsi="Times New Roman" w:cs="Times New Roman"/>
        </w:rPr>
        <w:t>ë</w:t>
      </w:r>
      <w:r w:rsidRPr="00826248">
        <w:rPr>
          <w:rFonts w:ascii="Times New Roman" w:eastAsia="Calibri" w:hAnsi="Times New Roman" w:cs="Times New Roman"/>
        </w:rPr>
        <w:t>soh</w:t>
      </w:r>
      <w:r w:rsidR="00061B31" w:rsidRPr="00826248">
        <w:rPr>
          <w:rFonts w:ascii="Times New Roman" w:eastAsia="Calibri" w:hAnsi="Times New Roman" w:cs="Times New Roman"/>
        </w:rPr>
        <w:t>e</w:t>
      </w:r>
      <w:r w:rsidRPr="00826248">
        <w:rPr>
          <w:rFonts w:ascii="Times New Roman" w:eastAsia="Calibri" w:hAnsi="Times New Roman" w:cs="Times New Roman"/>
        </w:rPr>
        <w:t>t me “</w:t>
      </w:r>
      <w:r w:rsidRPr="00826248">
        <w:rPr>
          <w:rFonts w:ascii="Times New Roman" w:eastAsia="Calibri" w:hAnsi="Times New Roman" w:cs="Times New Roman"/>
          <w:i/>
          <w:iCs/>
        </w:rPr>
        <w:t>nga data e marrjes në dorëzim të mallrave ose shërbimeve</w:t>
      </w:r>
      <w:r w:rsidRPr="00826248">
        <w:rPr>
          <w:rFonts w:ascii="Times New Roman" w:eastAsia="Calibri" w:hAnsi="Times New Roman" w:cs="Times New Roman"/>
        </w:rPr>
        <w:t>”</w:t>
      </w:r>
      <w:r w:rsidR="00496485" w:rsidRPr="00826248">
        <w:rPr>
          <w:rFonts w:ascii="Times New Roman" w:eastAsia="Calibri" w:hAnsi="Times New Roman" w:cs="Times New Roman"/>
        </w:rPr>
        <w:t>.</w:t>
      </w:r>
    </w:p>
    <w:p w14:paraId="021555CA" w14:textId="3F3AA17D" w:rsidR="008D0FF6" w:rsidRPr="00826248" w:rsidRDefault="008D0FF6" w:rsidP="008D0FF6">
      <w:pPr>
        <w:ind w:firstLine="720"/>
        <w:jc w:val="center"/>
        <w:rPr>
          <w:rFonts w:ascii="Times New Roman" w:eastAsia="Calibri" w:hAnsi="Times New Roman" w:cs="Times New Roman"/>
          <w:b/>
          <w:bCs/>
        </w:rPr>
      </w:pPr>
      <w:r w:rsidRPr="00826248">
        <w:rPr>
          <w:rFonts w:ascii="Times New Roman" w:eastAsia="Calibri" w:hAnsi="Times New Roman" w:cs="Times New Roman"/>
          <w:b/>
          <w:bCs/>
        </w:rPr>
        <w:t>Neni 5</w:t>
      </w:r>
    </w:p>
    <w:p w14:paraId="63693320" w14:textId="7D08DBA3" w:rsidR="008D0FF6" w:rsidRPr="00826248" w:rsidRDefault="008D0FF6" w:rsidP="00EE1EC2">
      <w:pPr>
        <w:pStyle w:val="ListParagraph"/>
        <w:numPr>
          <w:ilvl w:val="1"/>
          <w:numId w:val="1"/>
        </w:numPr>
        <w:ind w:left="810"/>
        <w:jc w:val="both"/>
        <w:rPr>
          <w:rFonts w:ascii="Times New Roman" w:eastAsia="Calibri" w:hAnsi="Times New Roman" w:cs="Times New Roman"/>
        </w:rPr>
      </w:pPr>
      <w:r w:rsidRPr="00826248">
        <w:rPr>
          <w:rFonts w:ascii="Times New Roman" w:eastAsia="Calibri" w:hAnsi="Times New Roman" w:cs="Times New Roman"/>
        </w:rPr>
        <w:t>Pika 2, e nenit 16 ndryshon me përmbajtjen si vijon:</w:t>
      </w:r>
    </w:p>
    <w:p w14:paraId="4DEE6946" w14:textId="5BD8906B" w:rsidR="000B1117" w:rsidRPr="009A7EA0" w:rsidRDefault="008D0FF6" w:rsidP="000B1117">
      <w:pPr>
        <w:pStyle w:val="ListParagraph"/>
        <w:numPr>
          <w:ilvl w:val="1"/>
          <w:numId w:val="1"/>
        </w:numPr>
        <w:ind w:left="1170"/>
        <w:jc w:val="both"/>
        <w:rPr>
          <w:rFonts w:ascii="Times New Roman" w:eastAsia="Calibri" w:hAnsi="Times New Roman" w:cs="Times New Roman"/>
        </w:rPr>
      </w:pPr>
      <w:r w:rsidRPr="00826248">
        <w:rPr>
          <w:rFonts w:ascii="Times New Roman" w:eastAsia="Calibri" w:hAnsi="Times New Roman" w:cs="Times New Roman"/>
        </w:rPr>
        <w:t>Në këto raste, detyrimi së bashku me kamatëvonesat ligjore</w:t>
      </w:r>
      <w:r w:rsidR="00107243" w:rsidRPr="00826248">
        <w:rPr>
          <w:rFonts w:ascii="Times New Roman" w:eastAsia="Calibri" w:hAnsi="Times New Roman" w:cs="Times New Roman"/>
        </w:rPr>
        <w:t xml:space="preserve"> dhe/ose </w:t>
      </w:r>
      <w:r w:rsidRPr="00826248">
        <w:rPr>
          <w:rFonts w:ascii="Times New Roman" w:eastAsia="Calibri" w:hAnsi="Times New Roman" w:cs="Times New Roman"/>
        </w:rPr>
        <w:t xml:space="preserve">kontraktuale dhe </w:t>
      </w:r>
      <w:r w:rsidR="00107243" w:rsidRPr="00826248">
        <w:rPr>
          <w:rFonts w:ascii="Times New Roman" w:eastAsia="Calibri" w:hAnsi="Times New Roman" w:cs="Times New Roman"/>
        </w:rPr>
        <w:t xml:space="preserve">me </w:t>
      </w:r>
      <w:r w:rsidRPr="00826248">
        <w:rPr>
          <w:rFonts w:ascii="Times New Roman" w:eastAsia="Calibri" w:hAnsi="Times New Roman" w:cs="Times New Roman"/>
        </w:rPr>
        <w:t xml:space="preserve">dëmshpërblimin për shpenzimet </w:t>
      </w:r>
      <w:r w:rsidR="00107243" w:rsidRPr="00826248">
        <w:rPr>
          <w:rFonts w:ascii="Times New Roman" w:eastAsia="Calibri" w:hAnsi="Times New Roman" w:cs="Times New Roman"/>
        </w:rPr>
        <w:t>p</w:t>
      </w:r>
      <w:r w:rsidR="000B1117" w:rsidRPr="00826248">
        <w:rPr>
          <w:rFonts w:ascii="Times New Roman" w:eastAsia="Calibri" w:hAnsi="Times New Roman" w:cs="Times New Roman"/>
        </w:rPr>
        <w:t>ë</w:t>
      </w:r>
      <w:r w:rsidR="00107243" w:rsidRPr="00826248">
        <w:rPr>
          <w:rFonts w:ascii="Times New Roman" w:eastAsia="Calibri" w:hAnsi="Times New Roman" w:cs="Times New Roman"/>
        </w:rPr>
        <w:t>r rikthimin e</w:t>
      </w:r>
      <w:r w:rsidRPr="00826248">
        <w:rPr>
          <w:rFonts w:ascii="Times New Roman" w:eastAsia="Calibri" w:hAnsi="Times New Roman" w:cs="Times New Roman"/>
        </w:rPr>
        <w:t xml:space="preserve"> kredisë mund të vihen në ekzekutim të detyrueshëm, në përputhje me dispozitat e Kodit të Procedurës Civile. Gjykata lëshon urdhrin e ekzekutimit brenda 90 ditëve kalendarike nga data e paraqitjes së kërkesës në gjykatë, me kusht që debia ose elemente të procedurës të mos </w:t>
      </w:r>
      <w:r w:rsidR="00107243" w:rsidRPr="00826248">
        <w:rPr>
          <w:rFonts w:ascii="Times New Roman" w:eastAsia="Calibri" w:hAnsi="Times New Roman" w:cs="Times New Roman"/>
        </w:rPr>
        <w:t>kund</w:t>
      </w:r>
      <w:r w:rsidR="000B1117" w:rsidRPr="00826248">
        <w:rPr>
          <w:rFonts w:ascii="Times New Roman" w:eastAsia="Calibri" w:hAnsi="Times New Roman" w:cs="Times New Roman"/>
        </w:rPr>
        <w:t>ë</w:t>
      </w:r>
      <w:r w:rsidR="00107243" w:rsidRPr="00826248">
        <w:rPr>
          <w:rFonts w:ascii="Times New Roman" w:eastAsia="Calibri" w:hAnsi="Times New Roman" w:cs="Times New Roman"/>
        </w:rPr>
        <w:t>rshtohen</w:t>
      </w:r>
      <w:r w:rsidRPr="00826248">
        <w:rPr>
          <w:rFonts w:ascii="Times New Roman" w:eastAsia="Calibri" w:hAnsi="Times New Roman" w:cs="Times New Roman"/>
        </w:rPr>
        <w:t>.</w:t>
      </w:r>
      <w:r w:rsidR="00107243" w:rsidRPr="00826248">
        <w:rPr>
          <w:rFonts w:ascii="Times New Roman" w:eastAsia="Calibri" w:hAnsi="Times New Roman" w:cs="Times New Roman"/>
        </w:rPr>
        <w:t xml:space="preserve"> </w:t>
      </w:r>
    </w:p>
    <w:p w14:paraId="65600150" w14:textId="574B75D5" w:rsidR="000B1117" w:rsidRPr="00826248" w:rsidRDefault="000B1117" w:rsidP="000B1117">
      <w:pPr>
        <w:autoSpaceDE w:val="0"/>
        <w:autoSpaceDN w:val="0"/>
        <w:adjustRightInd w:val="0"/>
        <w:spacing w:before="240" w:line="276" w:lineRule="auto"/>
        <w:jc w:val="center"/>
        <w:rPr>
          <w:rFonts w:ascii="Times New Roman" w:hAnsi="Times New Roman" w:cs="Times New Roman"/>
          <w:b/>
          <w:bCs/>
        </w:rPr>
      </w:pPr>
      <w:bookmarkStart w:id="1" w:name="_Hlk229997329"/>
      <w:r w:rsidRPr="00826248">
        <w:rPr>
          <w:rFonts w:ascii="Times New Roman" w:hAnsi="Times New Roman" w:cs="Times New Roman"/>
          <w:b/>
          <w:bCs/>
        </w:rPr>
        <w:t>Neni 6</w:t>
      </w:r>
    </w:p>
    <w:p w14:paraId="2F1F340E" w14:textId="77777777" w:rsidR="000B1117" w:rsidRPr="00826248" w:rsidRDefault="000B1117" w:rsidP="000B1117">
      <w:pPr>
        <w:autoSpaceDE w:val="0"/>
        <w:autoSpaceDN w:val="0"/>
        <w:adjustRightInd w:val="0"/>
        <w:spacing w:before="240" w:line="276" w:lineRule="auto"/>
        <w:jc w:val="center"/>
        <w:rPr>
          <w:rFonts w:ascii="Times New Roman" w:hAnsi="Times New Roman" w:cs="Times New Roman"/>
          <w:b/>
          <w:bCs/>
        </w:rPr>
      </w:pPr>
      <w:r w:rsidRPr="00826248">
        <w:rPr>
          <w:rFonts w:ascii="Times New Roman" w:hAnsi="Times New Roman" w:cs="Times New Roman"/>
          <w:b/>
          <w:bCs/>
        </w:rPr>
        <w:t>Hyrja në fuqi</w:t>
      </w:r>
    </w:p>
    <w:p w14:paraId="5B1CB654" w14:textId="6BE6E036" w:rsidR="000B1117" w:rsidRPr="00826248" w:rsidRDefault="000B1117" w:rsidP="000B1117">
      <w:pPr>
        <w:autoSpaceDE w:val="0"/>
        <w:autoSpaceDN w:val="0"/>
        <w:adjustRightInd w:val="0"/>
        <w:spacing w:before="240" w:line="276" w:lineRule="auto"/>
        <w:jc w:val="both"/>
        <w:rPr>
          <w:rFonts w:ascii="Times New Roman" w:hAnsi="Times New Roman" w:cs="Times New Roman"/>
        </w:rPr>
      </w:pPr>
      <w:r w:rsidRPr="00826248">
        <w:rPr>
          <w:rFonts w:ascii="Times New Roman" w:hAnsi="Times New Roman" w:cs="Times New Roman"/>
        </w:rPr>
        <w:t xml:space="preserve">Ky ligj hyn në fuqi 15 ditë pas botimit në Fletoren Zyrtare. </w:t>
      </w:r>
    </w:p>
    <w:p w14:paraId="778BAC06" w14:textId="77777777" w:rsidR="000B1117" w:rsidRDefault="000B1117" w:rsidP="000B1117">
      <w:pPr>
        <w:autoSpaceDE w:val="0"/>
        <w:autoSpaceDN w:val="0"/>
        <w:adjustRightInd w:val="0"/>
        <w:spacing w:before="240" w:line="276" w:lineRule="auto"/>
        <w:jc w:val="both"/>
        <w:rPr>
          <w:rFonts w:ascii="Times New Roman" w:hAnsi="Times New Roman" w:cs="Times New Roman"/>
        </w:rPr>
      </w:pPr>
    </w:p>
    <w:p w14:paraId="6FDBD8AE" w14:textId="77777777" w:rsidR="009A7EA0" w:rsidRPr="00826248" w:rsidRDefault="009A7EA0" w:rsidP="000B1117">
      <w:pPr>
        <w:autoSpaceDE w:val="0"/>
        <w:autoSpaceDN w:val="0"/>
        <w:adjustRightInd w:val="0"/>
        <w:spacing w:before="240" w:line="276" w:lineRule="auto"/>
        <w:jc w:val="both"/>
        <w:rPr>
          <w:rFonts w:ascii="Times New Roman" w:hAnsi="Times New Roman" w:cs="Times New Roman"/>
        </w:rPr>
      </w:pPr>
    </w:p>
    <w:p w14:paraId="44535784" w14:textId="77777777" w:rsidR="000B1117" w:rsidRPr="00826248" w:rsidRDefault="000B1117" w:rsidP="000B1117">
      <w:pPr>
        <w:autoSpaceDE w:val="0"/>
        <w:autoSpaceDN w:val="0"/>
        <w:adjustRightInd w:val="0"/>
        <w:spacing w:before="240" w:line="276" w:lineRule="auto"/>
        <w:jc w:val="center"/>
        <w:rPr>
          <w:rFonts w:ascii="Times New Roman" w:hAnsi="Times New Roman" w:cs="Times New Roman"/>
          <w:b/>
          <w:bCs/>
        </w:rPr>
      </w:pPr>
      <w:r w:rsidRPr="00826248">
        <w:rPr>
          <w:rFonts w:ascii="Times New Roman" w:hAnsi="Times New Roman" w:cs="Times New Roman"/>
          <w:b/>
          <w:bCs/>
        </w:rPr>
        <w:t>K R Y E T A R I</w:t>
      </w:r>
    </w:p>
    <w:p w14:paraId="7DC41DE4" w14:textId="5C05A624" w:rsidR="000B1117" w:rsidRPr="00826248" w:rsidRDefault="009A7EA0" w:rsidP="000B1117">
      <w:pPr>
        <w:spacing w:before="240" w:line="276" w:lineRule="auto"/>
        <w:jc w:val="center"/>
        <w:rPr>
          <w:rFonts w:ascii="Times New Roman" w:eastAsia="Times New Roman" w:hAnsi="Times New Roman" w:cs="Times New Roman"/>
          <w:kern w:val="0"/>
          <w:lang w:eastAsia="en-GB"/>
          <w14:ligatures w14:val="none"/>
        </w:rPr>
      </w:pPr>
      <w:r w:rsidRPr="00826248">
        <w:rPr>
          <w:rFonts w:ascii="Times New Roman" w:hAnsi="Times New Roman" w:cs="Times New Roman"/>
          <w:b/>
          <w:bCs/>
        </w:rPr>
        <w:t>Niko Peleshi</w:t>
      </w:r>
      <w:bookmarkEnd w:id="1"/>
    </w:p>
    <w:sectPr w:rsidR="000B1117" w:rsidRPr="008262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9D70" w14:textId="77777777" w:rsidR="00917440" w:rsidRPr="00826248" w:rsidRDefault="00917440" w:rsidP="003E367B">
      <w:pPr>
        <w:spacing w:after="0" w:line="240" w:lineRule="auto"/>
      </w:pPr>
      <w:r w:rsidRPr="00826248">
        <w:separator/>
      </w:r>
    </w:p>
  </w:endnote>
  <w:endnote w:type="continuationSeparator" w:id="0">
    <w:p w14:paraId="38020E94" w14:textId="77777777" w:rsidR="00917440" w:rsidRPr="00826248" w:rsidRDefault="00917440" w:rsidP="003E367B">
      <w:pPr>
        <w:spacing w:after="0" w:line="240" w:lineRule="auto"/>
      </w:pPr>
      <w:r w:rsidRPr="008262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497332"/>
      <w:docPartObj>
        <w:docPartGallery w:val="Page Numbers (Bottom of Page)"/>
        <w:docPartUnique/>
      </w:docPartObj>
    </w:sdtPr>
    <w:sdtContent>
      <w:p w14:paraId="0D2F6D53" w14:textId="5D42B446" w:rsidR="004F22D1" w:rsidRPr="00826248" w:rsidRDefault="004F22D1">
        <w:pPr>
          <w:pStyle w:val="Footer"/>
          <w:jc w:val="right"/>
        </w:pPr>
        <w:r w:rsidRPr="00826248">
          <w:fldChar w:fldCharType="begin"/>
        </w:r>
        <w:r w:rsidRPr="00826248">
          <w:instrText xml:space="preserve"> PAGE   \* MERGEFORMAT </w:instrText>
        </w:r>
        <w:r w:rsidRPr="00826248">
          <w:fldChar w:fldCharType="separate"/>
        </w:r>
        <w:r w:rsidRPr="00826248">
          <w:t>2</w:t>
        </w:r>
        <w:r w:rsidRPr="00826248">
          <w:fldChar w:fldCharType="end"/>
        </w:r>
      </w:p>
    </w:sdtContent>
  </w:sdt>
  <w:p w14:paraId="0FA61409" w14:textId="77777777" w:rsidR="004F22D1" w:rsidRPr="00826248" w:rsidRDefault="004F2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4907" w14:textId="77777777" w:rsidR="00917440" w:rsidRPr="00826248" w:rsidRDefault="00917440" w:rsidP="003E367B">
      <w:pPr>
        <w:spacing w:after="0" w:line="240" w:lineRule="auto"/>
      </w:pPr>
      <w:r w:rsidRPr="00826248">
        <w:separator/>
      </w:r>
    </w:p>
  </w:footnote>
  <w:footnote w:type="continuationSeparator" w:id="0">
    <w:p w14:paraId="62319C47" w14:textId="77777777" w:rsidR="00917440" w:rsidRPr="00826248" w:rsidRDefault="00917440" w:rsidP="003E367B">
      <w:pPr>
        <w:spacing w:after="0" w:line="240" w:lineRule="auto"/>
      </w:pPr>
      <w:r w:rsidRPr="00826248">
        <w:continuationSeparator/>
      </w:r>
    </w:p>
  </w:footnote>
  <w:footnote w:id="1">
    <w:p w14:paraId="24B4E6AC" w14:textId="75690DA6" w:rsidR="003E367B" w:rsidRPr="00826248" w:rsidRDefault="003E367B" w:rsidP="003E367B">
      <w:pPr>
        <w:pStyle w:val="Footer"/>
        <w:rPr>
          <w:color w:val="000000"/>
        </w:rPr>
      </w:pPr>
      <w:r w:rsidRPr="00826248">
        <w:rPr>
          <w:rStyle w:val="FootnoteReference"/>
        </w:rPr>
        <w:footnoteRef/>
      </w:r>
      <w:r w:rsidRPr="00826248">
        <w:t xml:space="preserve"> </w:t>
      </w:r>
      <w:r w:rsidRPr="00826248">
        <w:rPr>
          <w:rFonts w:ascii="CG Times" w:hAnsi="CG Times" w:cs="CG Times"/>
          <w:i/>
          <w:iCs/>
          <w:color w:val="000000"/>
          <w:sz w:val="18"/>
          <w:szCs w:val="18"/>
          <w:lang w:eastAsia="sq-AL"/>
        </w:rPr>
        <w:t>Ky akt është përafruar plot</w:t>
      </w:r>
      <w:r w:rsidR="00826248" w:rsidRPr="00826248">
        <w:rPr>
          <w:rFonts w:ascii="CG Times" w:hAnsi="CG Times" w:cs="CG Times"/>
          <w:i/>
          <w:iCs/>
          <w:color w:val="000000"/>
          <w:sz w:val="18"/>
          <w:szCs w:val="18"/>
          <w:lang w:eastAsia="sq-AL"/>
        </w:rPr>
        <w:t>ë</w:t>
      </w:r>
      <w:r w:rsidRPr="00826248">
        <w:rPr>
          <w:rFonts w:ascii="CG Times" w:hAnsi="CG Times" w:cs="CG Times"/>
          <w:i/>
          <w:iCs/>
          <w:color w:val="000000"/>
          <w:sz w:val="18"/>
          <w:szCs w:val="18"/>
          <w:lang w:eastAsia="sq-AL"/>
        </w:rPr>
        <w:t xml:space="preserve">sisht me direktivën 2011/7/EU, të Parlamentit Europian dhe Këshillit, të datës 16 shkurt 2011, “Për luftën kundër pagesës me vonesë në transaksionet tregtare”; Celex: 32011L000, Fletorja Zyrtare e Bashkimit Europian, Seria L, nr. 48, datë 23.2.2011, f. 1–10. </w:t>
      </w:r>
      <w:r w:rsidRPr="00826248">
        <w:rPr>
          <w:rFonts w:ascii="CG Times" w:hAnsi="CG Times" w:cs="CG Times"/>
          <w:color w:val="000000"/>
          <w:lang w:eastAsia="sq-AL"/>
        </w:rPr>
        <w:t xml:space="preserve"> </w:t>
      </w:r>
    </w:p>
    <w:p w14:paraId="4B021A64" w14:textId="77777777" w:rsidR="003E367B" w:rsidRPr="00835066" w:rsidRDefault="003E367B" w:rsidP="003E367B">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0C34"/>
    <w:multiLevelType w:val="hybridMultilevel"/>
    <w:tmpl w:val="485A0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30213"/>
    <w:multiLevelType w:val="multilevel"/>
    <w:tmpl w:val="6F8A7E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B5E07"/>
    <w:multiLevelType w:val="multilevel"/>
    <w:tmpl w:val="91588AA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208DE"/>
    <w:multiLevelType w:val="hybridMultilevel"/>
    <w:tmpl w:val="7C9E5FCA"/>
    <w:lvl w:ilvl="0" w:tplc="5BA08EC4">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53D9D"/>
    <w:multiLevelType w:val="multilevel"/>
    <w:tmpl w:val="A45CC770"/>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0A1C33"/>
    <w:multiLevelType w:val="hybridMultilevel"/>
    <w:tmpl w:val="485A0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F37242"/>
    <w:multiLevelType w:val="hybridMultilevel"/>
    <w:tmpl w:val="CB42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3F4D2B"/>
    <w:multiLevelType w:val="multilevel"/>
    <w:tmpl w:val="5582F202"/>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5022D72"/>
    <w:multiLevelType w:val="multilevel"/>
    <w:tmpl w:val="7882A97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525897">
    <w:abstractNumId w:val="7"/>
  </w:num>
  <w:num w:numId="2" w16cid:durableId="1187787339">
    <w:abstractNumId w:val="0"/>
  </w:num>
  <w:num w:numId="3" w16cid:durableId="52388243">
    <w:abstractNumId w:val="5"/>
  </w:num>
  <w:num w:numId="4" w16cid:durableId="11609003">
    <w:abstractNumId w:val="8"/>
  </w:num>
  <w:num w:numId="5" w16cid:durableId="457379360">
    <w:abstractNumId w:val="4"/>
  </w:num>
  <w:num w:numId="6" w16cid:durableId="584001675">
    <w:abstractNumId w:val="1"/>
  </w:num>
  <w:num w:numId="7" w16cid:durableId="1533960212">
    <w:abstractNumId w:val="2"/>
  </w:num>
  <w:num w:numId="8" w16cid:durableId="1599485614">
    <w:abstractNumId w:val="6"/>
  </w:num>
  <w:num w:numId="9" w16cid:durableId="1514029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7B"/>
    <w:rsid w:val="000366C4"/>
    <w:rsid w:val="0004021F"/>
    <w:rsid w:val="00061B31"/>
    <w:rsid w:val="00095DAD"/>
    <w:rsid w:val="000A36BB"/>
    <w:rsid w:val="000B1117"/>
    <w:rsid w:val="00101750"/>
    <w:rsid w:val="00107243"/>
    <w:rsid w:val="00127CDC"/>
    <w:rsid w:val="002323E1"/>
    <w:rsid w:val="00380C72"/>
    <w:rsid w:val="0038185E"/>
    <w:rsid w:val="003E367B"/>
    <w:rsid w:val="00401384"/>
    <w:rsid w:val="00411438"/>
    <w:rsid w:val="00470AC9"/>
    <w:rsid w:val="00496485"/>
    <w:rsid w:val="004C3898"/>
    <w:rsid w:val="004F22D1"/>
    <w:rsid w:val="005726BD"/>
    <w:rsid w:val="005D4A3C"/>
    <w:rsid w:val="005F096F"/>
    <w:rsid w:val="00691B35"/>
    <w:rsid w:val="00752F62"/>
    <w:rsid w:val="007A4BFB"/>
    <w:rsid w:val="00826248"/>
    <w:rsid w:val="00832228"/>
    <w:rsid w:val="00832698"/>
    <w:rsid w:val="008747C0"/>
    <w:rsid w:val="00892E9E"/>
    <w:rsid w:val="008C73CB"/>
    <w:rsid w:val="008D0FF6"/>
    <w:rsid w:val="00917440"/>
    <w:rsid w:val="009259C4"/>
    <w:rsid w:val="0093049B"/>
    <w:rsid w:val="00942E57"/>
    <w:rsid w:val="00953AA3"/>
    <w:rsid w:val="009A7EA0"/>
    <w:rsid w:val="009D151E"/>
    <w:rsid w:val="00B4270C"/>
    <w:rsid w:val="00B95436"/>
    <w:rsid w:val="00BF6342"/>
    <w:rsid w:val="00C04D0B"/>
    <w:rsid w:val="00C073E0"/>
    <w:rsid w:val="00C43F3D"/>
    <w:rsid w:val="00C7278C"/>
    <w:rsid w:val="00D40101"/>
    <w:rsid w:val="00D6061D"/>
    <w:rsid w:val="00D66A07"/>
    <w:rsid w:val="00DD1C16"/>
    <w:rsid w:val="00DE37A8"/>
    <w:rsid w:val="00E90CF0"/>
    <w:rsid w:val="00EA042B"/>
    <w:rsid w:val="00EE1EC2"/>
    <w:rsid w:val="00F15BA0"/>
    <w:rsid w:val="00F401F8"/>
    <w:rsid w:val="00FD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1077"/>
  <w15:chartTrackingRefBased/>
  <w15:docId w15:val="{47B02835-3019-4ECA-9008-7D82D832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67B"/>
    <w:rPr>
      <w:lang w:val="sq-AL"/>
    </w:rPr>
  </w:style>
  <w:style w:type="paragraph" w:styleId="Heading1">
    <w:name w:val="heading 1"/>
    <w:basedOn w:val="Normal"/>
    <w:next w:val="Normal"/>
    <w:link w:val="Heading1Char"/>
    <w:uiPriority w:val="9"/>
    <w:qFormat/>
    <w:rsid w:val="003E3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67B"/>
    <w:rPr>
      <w:rFonts w:eastAsiaTheme="majorEastAsia" w:cstheme="majorBidi"/>
      <w:color w:val="272727" w:themeColor="text1" w:themeTint="D8"/>
    </w:rPr>
  </w:style>
  <w:style w:type="paragraph" w:styleId="Title">
    <w:name w:val="Title"/>
    <w:basedOn w:val="Normal"/>
    <w:next w:val="Normal"/>
    <w:link w:val="TitleChar"/>
    <w:uiPriority w:val="10"/>
    <w:qFormat/>
    <w:rsid w:val="003E3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67B"/>
    <w:pPr>
      <w:spacing w:before="160"/>
      <w:jc w:val="center"/>
    </w:pPr>
    <w:rPr>
      <w:i/>
      <w:iCs/>
      <w:color w:val="404040" w:themeColor="text1" w:themeTint="BF"/>
    </w:rPr>
  </w:style>
  <w:style w:type="character" w:customStyle="1" w:styleId="QuoteChar">
    <w:name w:val="Quote Char"/>
    <w:basedOn w:val="DefaultParagraphFont"/>
    <w:link w:val="Quote"/>
    <w:uiPriority w:val="29"/>
    <w:rsid w:val="003E367B"/>
    <w:rPr>
      <w:i/>
      <w:iCs/>
      <w:color w:val="404040" w:themeColor="text1" w:themeTint="BF"/>
    </w:rPr>
  </w:style>
  <w:style w:type="paragraph" w:styleId="ListParagraph">
    <w:name w:val="List Paragraph"/>
    <w:basedOn w:val="Normal"/>
    <w:uiPriority w:val="34"/>
    <w:qFormat/>
    <w:rsid w:val="003E367B"/>
    <w:pPr>
      <w:ind w:left="720"/>
      <w:contextualSpacing/>
    </w:pPr>
  </w:style>
  <w:style w:type="character" w:styleId="IntenseEmphasis">
    <w:name w:val="Intense Emphasis"/>
    <w:basedOn w:val="DefaultParagraphFont"/>
    <w:uiPriority w:val="21"/>
    <w:qFormat/>
    <w:rsid w:val="003E367B"/>
    <w:rPr>
      <w:i/>
      <w:iCs/>
      <w:color w:val="0F4761" w:themeColor="accent1" w:themeShade="BF"/>
    </w:rPr>
  </w:style>
  <w:style w:type="paragraph" w:styleId="IntenseQuote">
    <w:name w:val="Intense Quote"/>
    <w:basedOn w:val="Normal"/>
    <w:next w:val="Normal"/>
    <w:link w:val="IntenseQuoteChar"/>
    <w:uiPriority w:val="30"/>
    <w:qFormat/>
    <w:rsid w:val="003E3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67B"/>
    <w:rPr>
      <w:i/>
      <w:iCs/>
      <w:color w:val="0F4761" w:themeColor="accent1" w:themeShade="BF"/>
    </w:rPr>
  </w:style>
  <w:style w:type="character" w:styleId="IntenseReference">
    <w:name w:val="Intense Reference"/>
    <w:basedOn w:val="DefaultParagraphFont"/>
    <w:uiPriority w:val="32"/>
    <w:qFormat/>
    <w:rsid w:val="003E367B"/>
    <w:rPr>
      <w:b/>
      <w:bCs/>
      <w:smallCaps/>
      <w:color w:val="0F4761" w:themeColor="accent1" w:themeShade="BF"/>
      <w:spacing w:val="5"/>
    </w:rPr>
  </w:style>
  <w:style w:type="paragraph" w:styleId="FootnoteText">
    <w:name w:val="footnote text"/>
    <w:basedOn w:val="Normal"/>
    <w:link w:val="FootnoteTextChar"/>
    <w:uiPriority w:val="99"/>
    <w:semiHidden/>
    <w:unhideWhenUsed/>
    <w:rsid w:val="003E367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FootnoteTextChar">
    <w:name w:val="Footnote Text Char"/>
    <w:basedOn w:val="DefaultParagraphFont"/>
    <w:link w:val="FootnoteText"/>
    <w:uiPriority w:val="99"/>
    <w:semiHidden/>
    <w:rsid w:val="003E367B"/>
    <w:rPr>
      <w:rFonts w:ascii="Times New Roman" w:eastAsia="Arial Unicode MS" w:hAnsi="Times New Roman" w:cs="Times New Roman"/>
      <w:kern w:val="0"/>
      <w:sz w:val="20"/>
      <w:szCs w:val="20"/>
      <w:bdr w:val="nil"/>
      <w:lang w:val="sq-AL"/>
      <w14:ligatures w14:val="none"/>
    </w:rPr>
  </w:style>
  <w:style w:type="character" w:styleId="FootnoteReference">
    <w:name w:val="footnote reference"/>
    <w:basedOn w:val="DefaultParagraphFont"/>
    <w:uiPriority w:val="99"/>
    <w:semiHidden/>
    <w:unhideWhenUsed/>
    <w:rsid w:val="003E367B"/>
    <w:rPr>
      <w:vertAlign w:val="superscript"/>
    </w:rPr>
  </w:style>
  <w:style w:type="paragraph" w:styleId="Footer">
    <w:name w:val="footer"/>
    <w:basedOn w:val="Normal"/>
    <w:link w:val="FooterChar"/>
    <w:uiPriority w:val="99"/>
    <w:rsid w:val="003E367B"/>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E367B"/>
    <w:rPr>
      <w:rFonts w:ascii="Times New Roman" w:eastAsia="Times New Roman" w:hAnsi="Times New Roman" w:cs="Times New Roman"/>
      <w:kern w:val="0"/>
      <w:lang w:val="sq-AL"/>
      <w14:ligatures w14:val="none"/>
    </w:rPr>
  </w:style>
  <w:style w:type="paragraph" w:styleId="Header">
    <w:name w:val="header"/>
    <w:basedOn w:val="Normal"/>
    <w:link w:val="HeaderChar"/>
    <w:uiPriority w:val="99"/>
    <w:unhideWhenUsed/>
    <w:rsid w:val="004F2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2D1"/>
    <w:rPr>
      <w:lang w:val="sq-AL"/>
    </w:rPr>
  </w:style>
  <w:style w:type="paragraph" w:styleId="NormalWeb">
    <w:name w:val="Normal (Web)"/>
    <w:basedOn w:val="Normal"/>
    <w:uiPriority w:val="99"/>
    <w:unhideWhenUsed/>
    <w:rsid w:val="009D151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p1">
    <w:name w:val="p1"/>
    <w:basedOn w:val="Normal"/>
    <w:rsid w:val="000B1117"/>
    <w:pPr>
      <w:spacing w:after="0" w:line="240" w:lineRule="auto"/>
    </w:pPr>
    <w:rPr>
      <w:rFonts w:ascii="Garamond" w:eastAsia="Times New Roman" w:hAnsi="Garamond" w:cs="Times New Roman"/>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5474">
      <w:bodyDiv w:val="1"/>
      <w:marLeft w:val="0"/>
      <w:marRight w:val="0"/>
      <w:marTop w:val="0"/>
      <w:marBottom w:val="0"/>
      <w:divBdr>
        <w:top w:val="none" w:sz="0" w:space="0" w:color="auto"/>
        <w:left w:val="none" w:sz="0" w:space="0" w:color="auto"/>
        <w:bottom w:val="none" w:sz="0" w:space="0" w:color="auto"/>
        <w:right w:val="none" w:sz="0" w:space="0" w:color="auto"/>
      </w:divBdr>
    </w:div>
    <w:div w:id="105466225">
      <w:bodyDiv w:val="1"/>
      <w:marLeft w:val="0"/>
      <w:marRight w:val="0"/>
      <w:marTop w:val="0"/>
      <w:marBottom w:val="0"/>
      <w:divBdr>
        <w:top w:val="none" w:sz="0" w:space="0" w:color="auto"/>
        <w:left w:val="none" w:sz="0" w:space="0" w:color="auto"/>
        <w:bottom w:val="none" w:sz="0" w:space="0" w:color="auto"/>
        <w:right w:val="none" w:sz="0" w:space="0" w:color="auto"/>
      </w:divBdr>
    </w:div>
    <w:div w:id="128863262">
      <w:bodyDiv w:val="1"/>
      <w:marLeft w:val="0"/>
      <w:marRight w:val="0"/>
      <w:marTop w:val="0"/>
      <w:marBottom w:val="0"/>
      <w:divBdr>
        <w:top w:val="none" w:sz="0" w:space="0" w:color="auto"/>
        <w:left w:val="none" w:sz="0" w:space="0" w:color="auto"/>
        <w:bottom w:val="none" w:sz="0" w:space="0" w:color="auto"/>
        <w:right w:val="none" w:sz="0" w:space="0" w:color="auto"/>
      </w:divBdr>
    </w:div>
    <w:div w:id="213856831">
      <w:bodyDiv w:val="1"/>
      <w:marLeft w:val="0"/>
      <w:marRight w:val="0"/>
      <w:marTop w:val="0"/>
      <w:marBottom w:val="0"/>
      <w:divBdr>
        <w:top w:val="none" w:sz="0" w:space="0" w:color="auto"/>
        <w:left w:val="none" w:sz="0" w:space="0" w:color="auto"/>
        <w:bottom w:val="none" w:sz="0" w:space="0" w:color="auto"/>
        <w:right w:val="none" w:sz="0" w:space="0" w:color="auto"/>
      </w:divBdr>
    </w:div>
    <w:div w:id="310988880">
      <w:bodyDiv w:val="1"/>
      <w:marLeft w:val="0"/>
      <w:marRight w:val="0"/>
      <w:marTop w:val="0"/>
      <w:marBottom w:val="0"/>
      <w:divBdr>
        <w:top w:val="none" w:sz="0" w:space="0" w:color="auto"/>
        <w:left w:val="none" w:sz="0" w:space="0" w:color="auto"/>
        <w:bottom w:val="none" w:sz="0" w:space="0" w:color="auto"/>
        <w:right w:val="none" w:sz="0" w:space="0" w:color="auto"/>
      </w:divBdr>
    </w:div>
    <w:div w:id="815147228">
      <w:bodyDiv w:val="1"/>
      <w:marLeft w:val="0"/>
      <w:marRight w:val="0"/>
      <w:marTop w:val="0"/>
      <w:marBottom w:val="0"/>
      <w:divBdr>
        <w:top w:val="none" w:sz="0" w:space="0" w:color="auto"/>
        <w:left w:val="none" w:sz="0" w:space="0" w:color="auto"/>
        <w:bottom w:val="none" w:sz="0" w:space="0" w:color="auto"/>
        <w:right w:val="none" w:sz="0" w:space="0" w:color="auto"/>
      </w:divBdr>
    </w:div>
    <w:div w:id="1069693722">
      <w:bodyDiv w:val="1"/>
      <w:marLeft w:val="0"/>
      <w:marRight w:val="0"/>
      <w:marTop w:val="0"/>
      <w:marBottom w:val="0"/>
      <w:divBdr>
        <w:top w:val="none" w:sz="0" w:space="0" w:color="auto"/>
        <w:left w:val="none" w:sz="0" w:space="0" w:color="auto"/>
        <w:bottom w:val="none" w:sz="0" w:space="0" w:color="auto"/>
        <w:right w:val="none" w:sz="0" w:space="0" w:color="auto"/>
      </w:divBdr>
    </w:div>
    <w:div w:id="1080566076">
      <w:bodyDiv w:val="1"/>
      <w:marLeft w:val="0"/>
      <w:marRight w:val="0"/>
      <w:marTop w:val="0"/>
      <w:marBottom w:val="0"/>
      <w:divBdr>
        <w:top w:val="none" w:sz="0" w:space="0" w:color="auto"/>
        <w:left w:val="none" w:sz="0" w:space="0" w:color="auto"/>
        <w:bottom w:val="none" w:sz="0" w:space="0" w:color="auto"/>
        <w:right w:val="none" w:sz="0" w:space="0" w:color="auto"/>
      </w:divBdr>
      <w:divsChild>
        <w:div w:id="8609721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6544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60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582439">
      <w:bodyDiv w:val="1"/>
      <w:marLeft w:val="0"/>
      <w:marRight w:val="0"/>
      <w:marTop w:val="0"/>
      <w:marBottom w:val="0"/>
      <w:divBdr>
        <w:top w:val="none" w:sz="0" w:space="0" w:color="auto"/>
        <w:left w:val="none" w:sz="0" w:space="0" w:color="auto"/>
        <w:bottom w:val="none" w:sz="0" w:space="0" w:color="auto"/>
        <w:right w:val="none" w:sz="0" w:space="0" w:color="auto"/>
      </w:divBdr>
    </w:div>
    <w:div w:id="1241479699">
      <w:bodyDiv w:val="1"/>
      <w:marLeft w:val="0"/>
      <w:marRight w:val="0"/>
      <w:marTop w:val="0"/>
      <w:marBottom w:val="0"/>
      <w:divBdr>
        <w:top w:val="none" w:sz="0" w:space="0" w:color="auto"/>
        <w:left w:val="none" w:sz="0" w:space="0" w:color="auto"/>
        <w:bottom w:val="none" w:sz="0" w:space="0" w:color="auto"/>
        <w:right w:val="none" w:sz="0" w:space="0" w:color="auto"/>
      </w:divBdr>
    </w:div>
    <w:div w:id="1378816964">
      <w:bodyDiv w:val="1"/>
      <w:marLeft w:val="0"/>
      <w:marRight w:val="0"/>
      <w:marTop w:val="0"/>
      <w:marBottom w:val="0"/>
      <w:divBdr>
        <w:top w:val="none" w:sz="0" w:space="0" w:color="auto"/>
        <w:left w:val="none" w:sz="0" w:space="0" w:color="auto"/>
        <w:bottom w:val="none" w:sz="0" w:space="0" w:color="auto"/>
        <w:right w:val="none" w:sz="0" w:space="0" w:color="auto"/>
      </w:divBdr>
    </w:div>
    <w:div w:id="2079134279">
      <w:bodyDiv w:val="1"/>
      <w:marLeft w:val="0"/>
      <w:marRight w:val="0"/>
      <w:marTop w:val="0"/>
      <w:marBottom w:val="0"/>
      <w:divBdr>
        <w:top w:val="none" w:sz="0" w:space="0" w:color="auto"/>
        <w:left w:val="none" w:sz="0" w:space="0" w:color="auto"/>
        <w:bottom w:val="none" w:sz="0" w:space="0" w:color="auto"/>
        <w:right w:val="none" w:sz="0" w:space="0" w:color="auto"/>
      </w:divBdr>
      <w:divsChild>
        <w:div w:id="864976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982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441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109</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Hega Ismaili</cp:lastModifiedBy>
  <cp:revision>49</cp:revision>
  <dcterms:created xsi:type="dcterms:W3CDTF">2026-05-18T07:11:00Z</dcterms:created>
  <dcterms:modified xsi:type="dcterms:W3CDTF">2026-05-19T09:04:00Z</dcterms:modified>
  <cp:category/>
</cp:coreProperties>
</file>